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0">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extLst xmlns:a="http://schemas.openxmlformats.org/drawingml/2006/main">
                    <a:ext uri="{7FBC4E63-A832-4D11-8238-D91031DB1400}">
                      <s:tag xmlns="http://www.wps.cn/officeDocument/2013/wpsCustomData" xmlns:s="http://www.wps.cn/officeDocument/2013/wpsCustomData">
                        <s:item s:name="KSO_DOCER_RESOURCE_TRACE_INFO" s:val="{&quot;id&quot;:&quot;&quot;,&quot;origin&quot;:0,&quot;type&quot;:&quot;wordart&quot;,&quot;user&quot;:&quot;292216292&quot;}"/>
                      </s:tag>
                    </a:ext>
                  </a:extLst>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438003</w:t>
      </w:r>
    </w:p>
    <w:p>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：石家庄市人民对外友好协会</w:t>
      </w:r>
    </w:p>
    <w:p>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cols w:space="720" w:num="1"/>
          <w:docGrid w:type="lines" w:linePitch="312" w:charSpace="0"/>
        </w:sectPr>
      </w:pPr>
    </w:p>
    <w:p>
      <w:pPr>
        <w:spacing w:line="600" w:lineRule="auto"/>
        <w:jc w:val="center"/>
        <w:rPr>
          <w:rFonts w:hint="eastAsia" w:ascii="楷体_GB2312" w:hAnsi="楷体_GB2312" w:eastAsia="楷体_GB2312" w:cs="楷体_GB2312"/>
          <w:color w:val="000000"/>
          <w:sz w:val="40"/>
          <w:szCs w:val="40"/>
        </w:rPr>
      </w:pPr>
    </w:p>
    <w:p>
      <w:pPr>
        <w:rPr>
          <w:rFonts w:hint="eastAsia" w:ascii="黑体" w:hAnsi="黑体" w:eastAsia="黑体" w:cs="黑体"/>
          <w:b/>
          <w:bCs/>
          <w:sz w:val="32"/>
          <w:szCs w:val="36"/>
          <w:highlight w:val="yellow"/>
        </w:rPr>
      </w:pPr>
    </w:p>
    <w:p>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方正小标宋_GBK"/>
          <w:b w:val="0"/>
          <w:sz w:val="72"/>
          <w:szCs w:val="72"/>
        </w:rPr>
        <w:t>石家庄市人民对外友好协会</w:t>
      </w:r>
    </w:p>
    <w:p>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仿宋_GB2312"/>
          <w:b w:val="0"/>
          <w:sz w:val="72"/>
          <w:szCs w:val="72"/>
        </w:rPr>
        <w:t>2024</w:t>
      </w:r>
      <w:r>
        <w:rPr>
          <w:rFonts w:ascii="Times New Roman" w:eastAsia="方正小标宋_GBK"/>
          <w:b w:val="0"/>
          <w:sz w:val="72"/>
          <w:szCs w:val="72"/>
        </w:rPr>
        <w:t>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both"/>
        <w:rPr>
          <w:rFonts w:ascii="黑体" w:hAnsi="黑体" w:eastAsia="黑体" w:cs="黑体"/>
          <w:sz w:val="56"/>
          <w:szCs w:val="72"/>
        </w:rPr>
      </w:pPr>
    </w:p>
    <w:p>
      <w:pPr>
        <w:widowControl/>
        <w:spacing w:before="0" w:beforeLines="0" w:beforeAutospacing="0" w:after="0" w:afterLines="0" w:afterAutospacing="0" w:line="360" w:lineRule="auto"/>
        <w:jc w:val="center"/>
        <w:rPr>
          <w:rFonts w:ascii="Times New Roman" w:eastAsia="楷体_GB2312"/>
          <w:b w:val="0"/>
          <w:sz w:val="44"/>
          <w:szCs w:val="44"/>
        </w:rPr>
      </w:pPr>
      <w:r>
        <w:rPr>
          <w:rFonts w:ascii="Times New Roman" w:eastAsia="楷体_GB2312"/>
          <w:b w:val="0"/>
          <w:sz w:val="44"/>
          <w:szCs w:val="44"/>
        </w:rPr>
        <w:t>石家庄市人民对外友好协会</w:t>
      </w:r>
    </w:p>
    <w:p>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二〇二五年八月</w:t>
      </w:r>
    </w:p>
    <w:p>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pPr>
        <w:widowControl/>
        <w:spacing w:line="600" w:lineRule="exact"/>
        <w:jc w:val="left"/>
        <w:rPr>
          <w:rFonts w:ascii="黑体" w:hAnsi="黑体" w:eastAsia="黑体" w:cs="黑体"/>
          <w:bCs/>
          <w:sz w:val="32"/>
          <w:szCs w:val="32"/>
        </w:rPr>
      </w:pPr>
    </w:p>
    <w:p>
      <w:pPr>
        <w:tabs>
          <w:tab w:val="left" w:pos="2728"/>
        </w:tabs>
        <w:jc w:val="center"/>
        <w:rPr>
          <w:rFonts w:ascii="黑体" w:hAnsi="Times New Roman" w:eastAsia="黑体" w:cs="Times New Roman"/>
          <w:sz w:val="48"/>
          <w:szCs w:val="48"/>
        </w:r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目录</w:t>
      </w:r>
    </w:p>
    <w:p>
      <w:pPr>
        <w:widowControl/>
        <w:spacing w:after="160" w:line="580" w:lineRule="exact"/>
        <w:ind w:firstLine="640" w:firstLineChars="200"/>
        <w:rPr>
          <w:rFonts w:ascii="Times New Roman" w:hAnsi="Times New Roman" w:eastAsia="黑体" w:cs="Times New Roman"/>
          <w:sz w:val="32"/>
          <w:szCs w:val="32"/>
        </w:rPr>
      </w:pP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第一部分单位概况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一、单位职责</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第二部分2024年度部门决算报表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第三部分2024年度部门决算情况说明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第四部分名词解释</w:t>
      </w:r>
    </w:p>
    <w:p>
      <w:pPr>
        <w:widowControl/>
        <w:spacing w:after="160" w:line="580" w:lineRule="exact"/>
        <w:rPr>
          <w:rFonts w:hint="eastAsia" w:ascii="Times New Roman" w:hAnsi="Times New Roman" w:eastAsia="黑体" w:cs="Times New Roman"/>
          <w:sz w:val="32"/>
          <w:szCs w:val="32"/>
          <w:lang w:val="en-US" w:eastAsia="zh-CN"/>
        </w:rPr>
        <w:sectPr>
          <w:headerReference r:id="rId5" w:type="first"/>
          <w:footerReference r:id="rId7" w:type="first"/>
          <w:headerReference r:id="rId4" w:type="default"/>
          <w:footerReference r:id="rId6"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第一部分单位概况</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一、单位职责</w:t>
      </w:r>
    </w:p>
    <w:p>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hint="eastAsia" w:ascii="Times New Roman" w:eastAsia="仿宋_GB2312"/>
          <w:b w:val="0"/>
          <w:sz w:val="32"/>
          <w:szCs w:val="32"/>
        </w:rPr>
        <w:t>开展我市人民同各国地方性民间团体和各界友好人士之间的友好联系，为涉外交流与合作提供咨询和服务等相关工作。</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从决算编报单位构成看，纳入2024年度本部门决算汇编范围的独立核算单位（以下简称“单位”）共</w:t>
      </w:r>
      <w:r>
        <w:rPr>
          <w:rFonts w:hint="eastAsia" w:ascii="Times New Roman" w:eastAsia="仿宋_GB2312"/>
          <w:b w:val="0"/>
          <w:sz w:val="32"/>
          <w:szCs w:val="32"/>
          <w:lang w:val="en-US" w:eastAsia="zh-CN"/>
        </w:rPr>
        <w:t>1</w:t>
      </w:r>
      <w:r>
        <w:rPr>
          <w:rFonts w:ascii="Times New Roman" w:eastAsia="仿宋_GB2312"/>
          <w:b w:val="0"/>
          <w:sz w:val="32"/>
          <w:szCs w:val="32"/>
        </w:rPr>
        <w:t>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石家庄市人民对外友好协会</w:t>
            </w:r>
          </w:p>
        </w:tc>
        <w:tc>
          <w:tcPr>
            <w:tcW w:w="244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参公事业单位</w:t>
            </w:r>
          </w:p>
        </w:tc>
        <w:tc>
          <w:tcPr>
            <w:tcW w:w="266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bl>
    <w:p>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w:t>
      </w:r>
      <w:r>
        <w:rPr>
          <w:rFonts w:ascii="Times New Roman" w:eastAsia="仿宋_GB2312"/>
          <w:b w:val="0"/>
          <w:sz w:val="44"/>
          <w:szCs w:val="44"/>
        </w:rPr>
        <w:t>2024</w:t>
      </w:r>
      <w:r>
        <w:rPr>
          <w:rFonts w:ascii="Times New Roman" w:eastAsia="黑体"/>
          <w:b w:val="0"/>
          <w:sz w:val="44"/>
          <w:szCs w:val="44"/>
        </w:rPr>
        <w:t>年度部门决算表</w:t>
      </w:r>
    </w:p>
    <w:tbl>
      <w:tblPr>
        <w:tblStyle w:val="11"/>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部门（单位）：石家庄市人民对外友好协会</w:t>
            </w:r>
          </w:p>
        </w:tc>
        <w:tc>
          <w:tcPr>
            <w:tcW w:w="1262" w:type="pct"/>
            <w:gridSpan w:val="2"/>
            <w:tcBorders>
              <w:top w:val="nil"/>
              <w:left w:val="nil"/>
              <w:bottom w:val="single" w:color="auto" w:sz="4" w:space="0"/>
              <w:right w:val="nil"/>
            </w:tcBorders>
            <w:noWrap/>
            <w:vAlign w:val="bottom"/>
          </w:tcPr>
          <w:p>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75.16</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75.16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75.16</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75.16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75.16</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75.16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部门（单位）：石家庄市人民对外友好协会                                                                                                         </w:t>
            </w:r>
          </w:p>
        </w:tc>
        <w:tc>
          <w:tcPr>
            <w:tcW w:w="3405" w:type="dxa"/>
            <w:gridSpan w:val="4"/>
            <w:tcBorders>
              <w:top w:val="nil"/>
              <w:left w:val="nil"/>
              <w:bottom w:val="single" w:color="auto" w:sz="4" w:space="0"/>
              <w:right w:val="nil"/>
            </w:tcBorders>
            <w:noWrap/>
            <w:vAlign w:val="bottom"/>
          </w:tcPr>
          <w:p>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75.16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75.16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一般公共服务支出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75.16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75.16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政府办公厅（室）及相关机构事务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75.16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75.16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75.16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75.16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部门（单位）：石家庄市人民对外友好协会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75.16</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75.16</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75.16</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75.16</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75.16</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75.16</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75.16</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75.16</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部门（单位）：石家庄市人民对外友好协会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75.16</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75.16</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75.16</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75.16</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75.16</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75.16</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both"/>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both"/>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75.16</w:t>
            </w:r>
          </w:p>
        </w:tc>
        <w:tc>
          <w:tcPr>
            <w:tcW w:w="895" w:type="pct"/>
            <w:gridSpan w:val="2"/>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75.16</w:t>
            </w:r>
          </w:p>
        </w:tc>
        <w:tc>
          <w:tcPr>
            <w:tcW w:w="520" w:type="pct"/>
            <w:tcBorders>
              <w:top w:val="nil"/>
              <w:left w:val="nil"/>
              <w:bottom w:val="single" w:color="000000" w:sz="8" w:space="0"/>
              <w:right w:val="single" w:color="000000" w:sz="4" w:space="0"/>
            </w:tcBorders>
            <w:noWrap/>
            <w:vAlign w:val="center"/>
          </w:tcPr>
          <w:p>
            <w:pPr>
              <w:jc w:val="right"/>
              <w:rPr>
                <w:rFonts w:hint="default" w:ascii="Times New Roman" w:hAnsi="Times New Roman" w:cs="Times New Roman"/>
                <w:sz w:val="20"/>
                <w:szCs w:val="20"/>
                <w:highlight w:val="none"/>
              </w:rPr>
            </w:pPr>
          </w:p>
          <w:p>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75.16</w:t>
            </w:r>
          </w:p>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34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916"/>
        <w:gridCol w:w="3216"/>
        <w:gridCol w:w="408"/>
        <w:gridCol w:w="925"/>
        <w:gridCol w:w="1036"/>
        <w:gridCol w:w="378"/>
        <w:gridCol w:w="172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编制部门（单位）：石家庄市人民对外友好协会</w:t>
            </w:r>
          </w:p>
        </w:tc>
        <w:tc>
          <w:tcPr>
            <w:tcW w:w="1541" w:type="pct"/>
            <w:gridSpan w:val="2"/>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0" w:type="pct"/>
            <w:gridSpan w:val="2"/>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38" w:type="pct"/>
            <w:gridSpan w:val="5"/>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56" w:type="pct"/>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8" w:type="pct"/>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8"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75.16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75.16</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75.16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75.16</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75.16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75.16</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75.16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75.16</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部门（单位）：石家庄市人民对外友好协会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54.86</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5.91</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14.10</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0.03</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11.46</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13.00</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4.56</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1.68</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3.87</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0.12</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0.57</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5.19</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2.58</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14.38</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14.37</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0.47</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0.01</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0.46</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1.96</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0.75</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69.24</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5.91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部门（单位）：石家庄市人民对外友好协会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34"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7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部门（单位）：石家庄市人民对外友好协会</w:t>
            </w:r>
          </w:p>
        </w:tc>
        <w:tc>
          <w:tcPr>
            <w:tcW w:w="1421" w:type="pct"/>
            <w:gridSpan w:val="4"/>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337" w:type="pct"/>
            <w:gridSpan w:val="6"/>
            <w:vMerge w:val="restart"/>
            <w:tcBorders>
              <w:top w:val="single" w:color="auto" w:sz="4" w:space="0"/>
              <w:left w:val="single" w:color="auto"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部门（单位）：石家庄市人民对外友好协会</w:t>
            </w:r>
          </w:p>
        </w:tc>
        <w:tc>
          <w:tcPr>
            <w:tcW w:w="933" w:type="pct"/>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52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33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36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8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4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511"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（如无相关数据，则需注明空表列示）</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8"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w:t>
      </w:r>
      <w:r>
        <w:rPr>
          <w:rFonts w:ascii="Times New Roman" w:eastAsia="仿宋_GB2312"/>
          <w:b w:val="0"/>
          <w:sz w:val="44"/>
          <w:szCs w:val="44"/>
        </w:rPr>
        <w:t>2024</w:t>
      </w:r>
      <w:r>
        <w:rPr>
          <w:rFonts w:ascii="Times New Roman" w:eastAsia="黑体"/>
          <w:b w:val="0"/>
          <w:sz w:val="44"/>
          <w:szCs w:val="44"/>
        </w:rPr>
        <w:t>年度部门决算情况说明</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本单位2024年度收、支总计（含结转和结余）均为75.16万元。与2023年度决算相比，收支各减少2.80万元，下降3.6%，主要原因是</w:t>
      </w:r>
      <w:r>
        <w:rPr>
          <w:rFonts w:hint="eastAsia" w:ascii="Times New Roman" w:eastAsia="仿宋_GB2312"/>
          <w:b w:val="0"/>
          <w:sz w:val="32"/>
          <w:szCs w:val="32"/>
          <w:lang w:val="en-US" w:eastAsia="zh-CN"/>
        </w:rPr>
        <w:t>本年经费减少</w:t>
      </w:r>
      <w:r>
        <w:rPr>
          <w:rFonts w:ascii="Times New Roman" w:eastAsia="仿宋_GB2312"/>
          <w:b w:val="0"/>
          <w:sz w:val="32"/>
          <w:szCs w:val="32"/>
        </w:rPr>
        <w:t>。</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收入合计75.16万元，其中：财政拨款收入75.16万元，占100.0%；上级补助收入0.00万元，占0.0%；事业收入0.00万元，占0.0%；经营收入0.00万元，占0.0%；附属单位上缴收入0.00万元，占0.0%；其他收入0.00万元，占0.0%。</w:t>
      </w:r>
    </w:p>
    <w:p>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本单位2024年度本年支出合计75.16万元，其中：基本支出75.16万元，占100.0%；项目支出0.00万元，占0.0%；上缴上级支出0.00万元，占0.0%；经营支出0.00万元，占0.0%；对附属单位补助支出0.00万元，占0.0%。</w:t>
      </w:r>
    </w:p>
    <w:p>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本单位2024年度财政拨款收、支总计（含结转和结余）均为75.16万元。与2023年度相比，财政拨款收支各减少2.80万元，降低3.6%，主要原因是</w:t>
      </w:r>
      <w:r>
        <w:rPr>
          <w:rFonts w:hint="eastAsia" w:ascii="Times New Roman" w:eastAsia="仿宋_GB2312"/>
          <w:b w:val="0"/>
          <w:sz w:val="32"/>
          <w:szCs w:val="32"/>
          <w:lang w:val="en-US" w:eastAsia="zh-CN"/>
        </w:rPr>
        <w:t>本年度经费减少</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本单位2024年度财政拨款本年收入75.16万元,比上年减少2.80万元，降低3.6%，主要原因是</w:t>
      </w:r>
      <w:r>
        <w:rPr>
          <w:rFonts w:hint="eastAsia" w:ascii="Times New Roman" w:eastAsia="仿宋_GB2312"/>
          <w:b w:val="0"/>
          <w:sz w:val="32"/>
          <w:szCs w:val="32"/>
          <w:lang w:val="en-US" w:eastAsia="zh-CN"/>
        </w:rPr>
        <w:t>本年经费减少</w:t>
      </w:r>
      <w:r>
        <w:rPr>
          <w:rFonts w:ascii="Times New Roman" w:eastAsia="仿宋_GB2312"/>
          <w:b w:val="0"/>
          <w:sz w:val="32"/>
          <w:szCs w:val="32"/>
        </w:rPr>
        <w:t>；本年支出75.16万元，比上年减少2.80万元，降低3.6%，主要原因是</w:t>
      </w:r>
      <w:r>
        <w:rPr>
          <w:rFonts w:hint="eastAsia" w:ascii="Times New Roman" w:eastAsia="仿宋_GB2312"/>
          <w:b w:val="0"/>
          <w:sz w:val="32"/>
          <w:szCs w:val="32"/>
          <w:lang w:val="en-US" w:eastAsia="zh-CN"/>
        </w:rPr>
        <w:t>本年经费减少</w:t>
      </w:r>
      <w:r>
        <w:rPr>
          <w:rFonts w:ascii="Times New Roman" w:eastAsia="仿宋_GB2312"/>
          <w:b w:val="0"/>
          <w:sz w:val="32"/>
          <w:szCs w:val="32"/>
        </w:rPr>
        <w:t>。具体情况如下：</w:t>
      </w:r>
    </w:p>
    <w:p>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1.一般公共预算财政拨款本年收入75.16万元,比上年减少2.80万元，降低3.6%，主要原因是</w:t>
      </w:r>
      <w:r>
        <w:rPr>
          <w:rFonts w:hint="eastAsia" w:ascii="Times New Roman" w:eastAsia="仿宋_GB2312"/>
          <w:b w:val="0"/>
          <w:sz w:val="32"/>
          <w:szCs w:val="32"/>
          <w:lang w:val="en-US" w:eastAsia="zh-CN"/>
        </w:rPr>
        <w:t>本年经费减少</w:t>
      </w:r>
      <w:r>
        <w:rPr>
          <w:rFonts w:ascii="Times New Roman" w:eastAsia="仿宋_GB2312"/>
          <w:b w:val="0"/>
          <w:sz w:val="32"/>
          <w:szCs w:val="32"/>
        </w:rPr>
        <w:t>；本年支出75.16万元，比上年减少2.80万元，降低3.6%，主要原因是</w:t>
      </w:r>
      <w:r>
        <w:rPr>
          <w:rFonts w:hint="eastAsia" w:ascii="Times New Roman" w:eastAsia="仿宋_GB2312"/>
          <w:b w:val="0"/>
          <w:sz w:val="32"/>
          <w:szCs w:val="32"/>
          <w:lang w:val="en-US" w:eastAsia="zh-CN"/>
        </w:rPr>
        <w:t>本年经费减少</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2.政府性基金预算财政拨款本年收入0.00万元，比上年增加0.00万元，增长0.00%；本年支出0.00万元，比上年增加0.00万元，增长0.00%。</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3.国有资本经营预算财政拨款本年收入0.00万元，比上年增加0.00万元，增长0.00%；本年支出0.00万元，比上年增加0.00万元，增长0.00%。</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本单位2024年度财政拨款本年收入75.16万元，完成年初预算的101.0%，比年初预算增加0.77万元，决算数大于预算数主要原因是</w:t>
      </w:r>
      <w:r>
        <w:rPr>
          <w:rFonts w:hint="eastAsia" w:ascii="Times New Roman" w:eastAsia="仿宋_GB2312"/>
          <w:b w:val="0"/>
          <w:sz w:val="32"/>
          <w:szCs w:val="32"/>
          <w:lang w:eastAsia="zh-CN"/>
        </w:rPr>
        <w:t>社保基数调整</w:t>
      </w:r>
      <w:r>
        <w:rPr>
          <w:rFonts w:ascii="Times New Roman" w:eastAsia="仿宋_GB2312"/>
          <w:b w:val="0"/>
          <w:sz w:val="32"/>
          <w:szCs w:val="32"/>
        </w:rPr>
        <w:t>；本年支出75.16万元，完成年初预算的101.0%，比年初预算增加0.77万元，决算数大于预算数主要原因是</w:t>
      </w:r>
      <w:r>
        <w:rPr>
          <w:rFonts w:hint="eastAsia" w:ascii="Times New Roman" w:eastAsia="仿宋_GB2312"/>
          <w:b w:val="0"/>
          <w:sz w:val="32"/>
          <w:szCs w:val="32"/>
          <w:lang w:eastAsia="zh-CN"/>
        </w:rPr>
        <w:t>社保基数调整</w:t>
      </w:r>
      <w:r>
        <w:rPr>
          <w:rFonts w:ascii="Times New Roman" w:eastAsia="仿宋_GB2312"/>
          <w:b w:val="0"/>
          <w:sz w:val="32"/>
          <w:szCs w:val="32"/>
        </w:rPr>
        <w:t>。具体情况如下：</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1.一般公共预算财政拨款本年收入完成年初预算的101.0%，比年初预算增加0.77万元，主要原因是</w:t>
      </w:r>
      <w:r>
        <w:rPr>
          <w:rFonts w:hint="eastAsia" w:ascii="Times New Roman" w:eastAsia="仿宋_GB2312"/>
          <w:b w:val="0"/>
          <w:sz w:val="32"/>
          <w:szCs w:val="32"/>
          <w:lang w:eastAsia="zh-CN"/>
        </w:rPr>
        <w:t>社保基数调整</w:t>
      </w:r>
      <w:r>
        <w:rPr>
          <w:rFonts w:ascii="Times New Roman" w:eastAsia="仿宋_GB2312"/>
          <w:b w:val="0"/>
          <w:sz w:val="32"/>
          <w:szCs w:val="32"/>
        </w:rPr>
        <w:t>；支出完成年初预算的101.0%，比年初预算增加0.77万元，主要原因是</w:t>
      </w:r>
      <w:r>
        <w:rPr>
          <w:rFonts w:hint="eastAsia" w:ascii="Times New Roman" w:eastAsia="仿宋_GB2312"/>
          <w:b w:val="0"/>
          <w:sz w:val="32"/>
          <w:szCs w:val="32"/>
          <w:lang w:eastAsia="zh-CN"/>
        </w:rPr>
        <w:t>社保基数调整</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2.政府性基金预算财政拨款本年收入完成年初预算的0.0%，比年初预算增加0.00万元；支出完成年初预算的0.0%，比年初预算增加0.00万元。</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3.国有资本经营预算财政拨款本年收入完成年初预算的0.0%，比年初预算增加0.00万元；支出完成年初预算的0.0%，比年初预算增加0.00万元。</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2024年度财政拨款支出75.16万元，主要用于以下方面：</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lang w:eastAsia="zh-CN"/>
        </w:rPr>
      </w:pPr>
      <w:r>
        <w:rPr>
          <w:rFonts w:ascii="Times New Roman" w:eastAsia="仿宋_GB2312"/>
          <w:b w:val="0"/>
          <w:sz w:val="32"/>
          <w:szCs w:val="32"/>
        </w:rPr>
        <w:t>一般公共服务（类）支出75.16万元，占100.0%，主要用于</w:t>
      </w:r>
      <w:r>
        <w:rPr>
          <w:rFonts w:hint="eastAsia" w:ascii="Times New Roman" w:eastAsia="仿宋_GB2312"/>
          <w:b w:val="0"/>
          <w:sz w:val="32"/>
          <w:szCs w:val="32"/>
          <w:lang w:eastAsia="zh-CN"/>
        </w:rPr>
        <w:t>日常公用、人员经费</w:t>
      </w:r>
      <w:r>
        <w:rPr>
          <w:rFonts w:ascii="Times New Roman" w:eastAsia="仿宋_GB2312"/>
          <w:b w:val="0"/>
          <w:sz w:val="32"/>
          <w:szCs w:val="32"/>
        </w:rPr>
        <w:t>等支出</w:t>
      </w:r>
      <w:r>
        <w:rPr>
          <w:rFonts w:hint="eastAsia" w:ascii="Times New Roman" w:eastAsia="仿宋_GB2312"/>
          <w:b w:val="0"/>
          <w:sz w:val="32"/>
          <w:szCs w:val="32"/>
          <w:lang w:eastAsia="zh-CN"/>
        </w:rPr>
        <w:t>。</w:t>
      </w:r>
      <w:r>
        <w:rPr>
          <w:rFonts w:ascii="Times New Roman" w:eastAsia="仿宋_GB2312"/>
          <w:b w:val="0"/>
          <w:sz w:val="32"/>
          <w:szCs w:val="32"/>
        </w:rPr>
        <w:t>外交（类）支出0.00万元，占0.0%，主要用于等支出；国防（类）支出0.00万元，占0.0%，主要用于等支出；公共安全类（类）支出0.00万元，占0.0%，主要用于等支出；教育（类）支出0.00万元，占0.0%，主要用于等支出；科学技术（类）支出0.00万元，占0.0%，主要用于等支出；文化旅游体育与传媒（类）支出0.00万元，占0.0%，主要用于等支出；社会保障和就业（类）支出0.00万元，占0.0%，主要用于等支出；卫生健康（类）支出0.00万元，占0.0%，主要用于等支出；节能环保（类）支出0.00万元，占0.0%，主要用于等支出；城乡社区（类）支出0.00万元，占0.0%，主要用于等支出；农林水（类）支出0.00万元，占0.0%，主要用于等支出；交通运输（类）支出0.00万元，占0.0%，主要用于等支出；资源勘探信息等（类）支出0.00万元，占0.0%，主要用于等支出；商业服务业等（类）支出0.00万元，占0.0%，主要用于等支出；金融（类）支出0.00万元，占0.0%，主要用于等支出；援助其他地区（类）支出0.00万元，占0.0%，主要用于等支出；自然资源海洋气象等（类）支出0.00万元，占0.0%，主要用于等支出；住房保障（类）支出0.00万元，占0.0%，主要用于等支出；粮油物资储备（类）支出0.00万元，占0.0%，主要用于等支出；国有资本经营预算支出0.00万元，占0.0%，主要用于等支出；害防治及应急管理（类）支出0.00万元，占0.0%，主要用于等支出；其他（类）支出0.00万元，占0.0%，主要用于等支出；债务还本（类）支出0.00万元，占0.0%，主要用于等支出；债务付息（类）支出0.00万元，占0.0%，主要用于等支出；抗疫特别国债安排的支出0.00万元，占0.0%，主要用于等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政府性基金预算财政拨款支出：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0.00万元，占0.0%，主要用于等支出；外交（类）支出0.00万元，占0.0%，主要用于等支出；国防（类）支出0.00万元，占0.0%，主要用于等支出；公共安全类（类）支出0.00万元，占0.0%，主要用于等支出；教育（类）支出0.00万元，占0.0%，主要用于等支出；科学技术（类）支出0.00万元，占0.0%，主要用于等支出；文化旅游体育与传媒（类）支出0.00万元，占0.0%，主要用于等支出；社会保障和就业（类）支出0.00万元，占0.0%，主要用于等支出；卫生健康（类）支出0.00万元，占0.0%，主要用于等支出；节能环保（类）支出0.00万元，占0.0%，主要用于等支出；城乡社区（类）支出0.00万元，占0.0%，主要用于等支出；农林水（类）支出0.00万元，占0.0%，主要用于等支出；交通运输（类）支出0.00万元，占0.0%，主要用于等支出；资源勘探信息等（类）支出0.00万元，占0.0%，主要用于等支出；商业服务业等（类）支出0.00万元，占0.0%，主要用于等支出；金融（类）支出0.00万元，占0.0%，主要用于等支出；援助其他地区（类）支出0.00万元，占0.0%，主要用于等支出；自然资源海洋气象等（类）支出0.00万元，占0.0%，主要用于等支出；住房保障（类）支出0.00万元，占0.0%，主要用于等支出；粮油物资储备（类）支出0.00万元，占0.0%，主要用于等支出；国有资本经营预算支出0.00万元，占0.0%，主要用于等支出；害防治及应急管理（类）支出0.00万元，占0.0%，主要用于等支出；其他（类）支出0.00万元，占0.0%，主要用于等支出；债务还本（类）支出0.00万元，占0.0%，主要用于等支出；债务付息（类）支出0.00万元，占0.0%，主要用于等支出；抗疫特别国债安排的支出0.00万元，占0.00%，主要用于等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国有资本经营预算财政拨款支出：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0.00万元，占0.0%，主要用于等支出；外交（类）支出0.00万元，占0.0%，主要用于等支出；国防（类）支出0.00万元，占0.0%，主要用于等支出；公共安全（类）支出0.00万元，占0.0%，主要用于等支出；教育（类）支出0.00万元，占0.0%，主要用于等支出；科学技术（类）支出0.00万元，占0.0%，主要用于等支出；文化旅游体育与传媒（类）支出0.00万元，占0.0%，主要用于等支出；社会保障和就业（类）支出0.00万元，占0.0%，主要用于等支出；卫生健康（类）支出0.00万元，占0.0%，主要用于等支出；节能环保（类）支出0.00万元，占0.0%，主要用于等支出；城乡社区（类）支出0.00万元，占0.0%，主要用于等支出；农林水（类）支出0.00万元，占0.0%，主要用于等支出；交通运输（类）支出0.00万元，占0.0%，主要用于等支出；资源勘探信息等（类）支出0.00万元，占0.0%，主要用于等支出；商业服务业等（类）支出0.00万元，占0.0%，主要用于等支出；金融（类）支出0.00万元，占0.0%，主要用于等支出；援助其他地区（类）支出0.00万元，占0.0%，主要用于等支出；自然资源海洋气象等（类）支出0.00万元，占0.0%，主要用于等支出；住房保障（类）支出0.00万元，占0.0%，主要用于等支出；粮油物资储备（类）支出0.00万元，占0.0%，主要用于等支出；国有资本经营预算支出0.00万元，占0.0%，主要用于等支出；害防治及应急管理（类）支出0.00万元，占0.0%，主要用于等支出；其他（类）支出0.00万元，占0.0%，主要用于等支出；债务还本（类）支出0.00万元，占0.0%，主要用于等支出；债务付息（类）支出0.00万元，占0.0%，主要用于等支出；抗疫特别国债安排的支出0.00万元，占0.0%，主要用于等支出。</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2024年度财政拨款基本支出75.16万元，其中：</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69.24万元，主要包括基本工资、津贴补贴、奖金、伙食补助费、绩效工资、机关事业部门基本养老保险缴费、职业年金缴费、职工基本医疗保险缴费、公务员医疗补助缴费、住房公积金、医疗费、其他社会保障缴费、其他工资福利支出、离休费、退休费、抚恤金、生活补助、医疗费补助、奖励金、其他对个人和家庭的补助支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5.91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五、财政拨款“三公”经费支出决算情况说明</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本单位2024年度“三公”经费财政拨款支出预算为0.00万元，支出决算为0.00万元，完成预算的0.0%，较预算增加0.00万元，增长0.0%；较2023年度决算增加0.00万元，增长0.00%。</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1.因公出国（境）费支出情况。</w:t>
      </w:r>
      <w:r>
        <w:rPr>
          <w:rFonts w:ascii="Times New Roman" w:eastAsia="仿宋_GB2312"/>
          <w:b w:val="0"/>
          <w:sz w:val="32"/>
          <w:szCs w:val="32"/>
        </w:rPr>
        <w:t>本单位2024年度因公出国（境）费支出预算为0.00万元,支出决算0.00万元。完成预算的0.0%。因公出国（境）费支出较预算增加0.00万元，增长0.0%；较上年增加0.00万元，增长0.00%。因公出国（境）团组0个、共0人、参加其他单位组织的因公出国（境）团组</w:t>
      </w:r>
      <w:r>
        <w:rPr>
          <w:rFonts w:hint="eastAsia" w:ascii="Times New Roman" w:eastAsia="仿宋_GB2312"/>
          <w:b w:val="0"/>
          <w:sz w:val="32"/>
          <w:szCs w:val="32"/>
          <w:lang w:val="en-US" w:eastAsia="zh-CN"/>
        </w:rPr>
        <w:t>0</w:t>
      </w:r>
      <w:r>
        <w:rPr>
          <w:rFonts w:ascii="Times New Roman" w:eastAsia="仿宋_GB2312"/>
          <w:b w:val="0"/>
          <w:sz w:val="32"/>
          <w:szCs w:val="32"/>
        </w:rPr>
        <w:t>个、共</w:t>
      </w:r>
      <w:r>
        <w:rPr>
          <w:rFonts w:hint="eastAsia" w:ascii="Times New Roman" w:eastAsia="仿宋_GB2312"/>
          <w:b w:val="0"/>
          <w:sz w:val="32"/>
          <w:szCs w:val="32"/>
          <w:lang w:val="en-US" w:eastAsia="zh-CN"/>
        </w:rPr>
        <w:t>0</w:t>
      </w:r>
      <w:r>
        <w:rPr>
          <w:rFonts w:ascii="Times New Roman" w:eastAsia="仿宋_GB2312"/>
          <w:b w:val="0"/>
          <w:sz w:val="32"/>
          <w:szCs w:val="32"/>
        </w:rPr>
        <w:t>人/无本部门组织的出国（境）团组。</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2.公务用车购置及运行维护费支出情况。</w:t>
      </w:r>
      <w:r>
        <w:rPr>
          <w:rFonts w:ascii="Times New Roman" w:eastAsia="仿宋_GB2312"/>
          <w:b w:val="0"/>
          <w:sz w:val="32"/>
          <w:szCs w:val="32"/>
        </w:rPr>
        <w:t>本单位2024年度公务用车购置及运行维护费预算为0.00万元，支出决算0.00万元，完成预算的0.0%,较预算增加0.00万元，增长0.0%；较上年增加0.00万元，增长0.00%。其中：</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b w:val="0"/>
          <w:sz w:val="32"/>
          <w:szCs w:val="32"/>
        </w:rPr>
        <w:t>本单位2024年度公务用车购置量0辆，发生“公务用车购置”经费支出0.00万元。公务用车购置费支出较预算增加0.00万元，增长0.0%；较上年增加0.00万元，增长0.00%。</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公务用车运行维护费支出0.00万元：</w:t>
      </w:r>
      <w:r>
        <w:rPr>
          <w:rFonts w:ascii="Times New Roman" w:eastAsia="仿宋_GB2312"/>
          <w:b w:val="0"/>
          <w:sz w:val="32"/>
          <w:szCs w:val="32"/>
        </w:rPr>
        <w:t>本单位2024年度单位公务用车保有量0辆，发生运行维护费支出0.00万元。公车运行维护费支出较预算增加0.00万元，增长0.0%；较上年增加0.00万元，增长0.00%。</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本单位2024年度公务接待费支出预算为0.00万元，支出决算0.00万元，完成预算的0.0%。公务接待费支出较预算增加0.00万元，增长0.0%；较上年度增加0.00万元，增长0.00%。本年度共发生公务接待0批次、0人次。</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本单位2024年度机关运行经费支出5.91万元，较2023年度减少0.48万元，降低7.5%。主要原因是</w:t>
      </w:r>
      <w:r>
        <w:rPr>
          <w:rFonts w:hint="eastAsia" w:ascii="Times New Roman" w:eastAsia="仿宋_GB2312"/>
          <w:b w:val="0"/>
          <w:sz w:val="32"/>
          <w:szCs w:val="32"/>
          <w:lang w:eastAsia="zh-CN"/>
        </w:rPr>
        <w:t>本年控制日常运行成本</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政府采购支出总额0.00万元，从采购类型来看，政府采购货物支出0.00万元、政府采购工程支出0.00万元、政府采购服务支出0.00万元。授予中小企业合同金额0.00万元，占政府采购支出总额的0.0%，其中授予小微企业合同金额0.00万元，占政府采购支出总额的0.0%。</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单位共有车辆0辆，比上年增加0辆。其中，副部（省）级及以上领导用车0辆，主要负责人用车0辆，机要通信用车0辆，应急保障用车0辆，执法执勤用车0辆，特种专业技术用车0辆，离退休干部用车0辆，其他用车0辆。单位价值100万元（含）以上设备（不含车辆）0台（套）。</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根据预算绩效管理要求，本单位组织对2024年度本级预算项目支出全面开展绩效自评，共涉及资金</w:t>
      </w:r>
      <w:r>
        <w:rPr>
          <w:rFonts w:hint="eastAsia" w:ascii="Times New Roman" w:eastAsia="仿宋_GB2312"/>
          <w:b w:val="0"/>
          <w:sz w:val="32"/>
          <w:szCs w:val="32"/>
          <w:lang w:val="en-US" w:eastAsia="zh-CN"/>
        </w:rPr>
        <w:t>0</w:t>
      </w:r>
      <w:r>
        <w:rPr>
          <w:rFonts w:ascii="Times New Roman" w:eastAsia="仿宋_GB2312"/>
          <w:b w:val="0"/>
          <w:sz w:val="32"/>
          <w:szCs w:val="32"/>
        </w:rPr>
        <w:t>万元（决算金额）。其中，一般公共预算项目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万元，占一般公共预算项目支出总额的</w:t>
      </w:r>
      <w:r>
        <w:rPr>
          <w:rFonts w:hint="eastAsia" w:ascii="Times New Roman" w:eastAsia="仿宋_GB2312"/>
          <w:b w:val="0"/>
          <w:sz w:val="32"/>
          <w:szCs w:val="32"/>
          <w:lang w:val="en-US" w:eastAsia="zh-CN"/>
        </w:rPr>
        <w:t>0</w:t>
      </w:r>
      <w:r>
        <w:rPr>
          <w:rFonts w:ascii="Times New Roman" w:eastAsia="仿宋_GB2312"/>
          <w:b w:val="0"/>
          <w:sz w:val="32"/>
          <w:szCs w:val="32"/>
        </w:rPr>
        <w:t>%；政府性基金预算项目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万元，占政府性基金预算项目支出总额的</w:t>
      </w:r>
      <w:r>
        <w:rPr>
          <w:rFonts w:hint="eastAsia" w:ascii="Times New Roman" w:eastAsia="仿宋_GB2312"/>
          <w:b w:val="0"/>
          <w:sz w:val="32"/>
          <w:szCs w:val="32"/>
          <w:lang w:val="en-US" w:eastAsia="zh-CN"/>
        </w:rPr>
        <w:t>0</w:t>
      </w:r>
      <w:r>
        <w:rPr>
          <w:rFonts w:ascii="Times New Roman" w:eastAsia="仿宋_GB2312"/>
          <w:b w:val="0"/>
          <w:sz w:val="32"/>
          <w:szCs w:val="32"/>
        </w:rPr>
        <w:t>%；国有资本经营预算项目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万元，占国有资本经营预算项目支出总额的</w:t>
      </w:r>
      <w:r>
        <w:rPr>
          <w:rFonts w:hint="eastAsia" w:ascii="Times New Roman" w:eastAsia="仿宋_GB2312"/>
          <w:b w:val="0"/>
          <w:sz w:val="32"/>
          <w:szCs w:val="32"/>
          <w:lang w:val="en-US" w:eastAsia="zh-CN"/>
        </w:rPr>
        <w:t>0</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组织对等</w:t>
      </w:r>
      <w:r>
        <w:rPr>
          <w:rFonts w:hint="eastAsia" w:ascii="Times New Roman" w:eastAsia="仿宋_GB2312"/>
          <w:b w:val="0"/>
          <w:sz w:val="32"/>
          <w:szCs w:val="32"/>
          <w:lang w:val="en-US" w:eastAsia="zh-CN"/>
        </w:rPr>
        <w:t>0</w:t>
      </w:r>
      <w:r>
        <w:rPr>
          <w:rFonts w:ascii="Times New Roman" w:eastAsia="仿宋_GB2312"/>
          <w:b w:val="0"/>
          <w:sz w:val="32"/>
          <w:szCs w:val="32"/>
        </w:rPr>
        <w:t>个项目开展了部门重点评价，涉及一般公共预算支出</w:t>
      </w:r>
      <w:r>
        <w:rPr>
          <w:rFonts w:hint="eastAsia" w:ascii="Times New Roman" w:eastAsia="仿宋_GB2312"/>
          <w:b w:val="0"/>
          <w:sz w:val="32"/>
          <w:szCs w:val="32"/>
          <w:lang w:val="en-US" w:eastAsia="zh-CN"/>
        </w:rPr>
        <w:t>0</w:t>
      </w:r>
      <w:r>
        <w:rPr>
          <w:rFonts w:ascii="Times New Roman" w:eastAsia="仿宋_GB2312"/>
          <w:b w:val="0"/>
          <w:sz w:val="32"/>
          <w:szCs w:val="32"/>
        </w:rPr>
        <w:t>万元，政府性基金预算支出</w:t>
      </w:r>
      <w:r>
        <w:rPr>
          <w:rFonts w:hint="eastAsia" w:ascii="Times New Roman" w:eastAsia="仿宋_GB2312"/>
          <w:b w:val="0"/>
          <w:sz w:val="32"/>
          <w:szCs w:val="32"/>
          <w:lang w:val="en-US" w:eastAsia="zh-CN"/>
        </w:rPr>
        <w:t>0</w:t>
      </w:r>
      <w:r>
        <w:rPr>
          <w:rFonts w:ascii="Times New Roman" w:eastAsia="仿宋_GB2312"/>
          <w:b w:val="0"/>
          <w:sz w:val="32"/>
          <w:szCs w:val="32"/>
        </w:rPr>
        <w:t>万元，国有资本经营预算支出</w:t>
      </w:r>
      <w:r>
        <w:rPr>
          <w:rFonts w:hint="eastAsia" w:ascii="Times New Roman" w:eastAsia="仿宋_GB2312"/>
          <w:b w:val="0"/>
          <w:sz w:val="32"/>
          <w:szCs w:val="32"/>
          <w:lang w:val="en-US" w:eastAsia="zh-CN"/>
        </w:rPr>
        <w:t>0</w:t>
      </w:r>
      <w:r>
        <w:rPr>
          <w:rFonts w:ascii="Times New Roman" w:eastAsia="仿宋_GB2312"/>
          <w:b w:val="0"/>
          <w:sz w:val="32"/>
          <w:szCs w:val="32"/>
        </w:rPr>
        <w:t>万元。</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（二）部门决算中项目绩效自评结果</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本单位在今年部门决算公开中反映</w:t>
      </w:r>
      <w:r>
        <w:rPr>
          <w:rFonts w:hint="eastAsia" w:ascii="Times New Roman" w:eastAsia="仿宋_GB2312"/>
          <w:b w:val="0"/>
          <w:sz w:val="32"/>
          <w:szCs w:val="32"/>
          <w:lang w:val="en-US" w:eastAsia="zh-CN"/>
        </w:rPr>
        <w:t>0</w:t>
      </w:r>
      <w:r>
        <w:rPr>
          <w:rFonts w:ascii="Times New Roman" w:eastAsia="仿宋_GB2312"/>
          <w:b w:val="0"/>
          <w:sz w:val="32"/>
          <w:szCs w:val="32"/>
        </w:rPr>
        <w:t>个项目绩效自评结果。</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项目绩效自评情况：根据年初设定的绩效目标</w:t>
      </w:r>
      <w:r>
        <w:rPr>
          <w:rFonts w:hint="eastAsia" w:ascii="Times New Roman" w:eastAsia="仿宋_GB2312"/>
          <w:b w:val="0"/>
          <w:sz w:val="32"/>
          <w:szCs w:val="32"/>
          <w:lang w:eastAsia="zh-CN"/>
        </w:rPr>
        <w:t>，</w:t>
      </w:r>
      <w:r>
        <w:rPr>
          <w:rFonts w:ascii="Times New Roman" w:eastAsia="仿宋_GB2312"/>
          <w:b w:val="0"/>
          <w:sz w:val="32"/>
          <w:szCs w:val="32"/>
        </w:rPr>
        <w:t>全年预算数为</w:t>
      </w:r>
      <w:r>
        <w:rPr>
          <w:rFonts w:hint="eastAsia" w:ascii="Times New Roman" w:eastAsia="仿宋_GB2312"/>
          <w:b w:val="0"/>
          <w:sz w:val="32"/>
          <w:szCs w:val="32"/>
          <w:lang w:val="en-US" w:eastAsia="zh-CN"/>
        </w:rPr>
        <w:t>0</w:t>
      </w:r>
      <w:r>
        <w:rPr>
          <w:rFonts w:ascii="Times New Roman" w:eastAsia="仿宋_GB2312"/>
          <w:b w:val="0"/>
          <w:sz w:val="32"/>
          <w:szCs w:val="32"/>
        </w:rPr>
        <w:t>万元，执行数为</w:t>
      </w:r>
      <w:r>
        <w:rPr>
          <w:rFonts w:hint="eastAsia" w:ascii="Times New Roman" w:eastAsia="仿宋_GB2312"/>
          <w:b w:val="0"/>
          <w:sz w:val="32"/>
          <w:szCs w:val="32"/>
          <w:lang w:val="en-US" w:eastAsia="zh-CN"/>
        </w:rPr>
        <w:t>0</w:t>
      </w:r>
      <w:r>
        <w:rPr>
          <w:rFonts w:ascii="Times New Roman" w:eastAsia="仿宋_GB2312"/>
          <w:b w:val="0"/>
          <w:sz w:val="32"/>
          <w:szCs w:val="32"/>
        </w:rPr>
        <w:t>万元，完成预算的</w:t>
      </w:r>
      <w:r>
        <w:rPr>
          <w:rFonts w:hint="eastAsia" w:ascii="Times New Roman" w:eastAsia="仿宋_GB2312"/>
          <w:b w:val="0"/>
          <w:sz w:val="32"/>
          <w:szCs w:val="32"/>
          <w:lang w:val="en-US" w:eastAsia="zh-CN"/>
        </w:rPr>
        <w:t>0</w:t>
      </w:r>
      <w:r>
        <w:rPr>
          <w:rFonts w:ascii="Times New Roman" w:eastAsia="仿宋_GB2312"/>
          <w:b w:val="0"/>
          <w:sz w:val="32"/>
          <w:szCs w:val="32"/>
        </w:rPr>
        <w:t>%。</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（三）部门评价项目绩效评价结果（如有）</w:t>
      </w:r>
    </w:p>
    <w:p>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lang w:eastAsia="zh-CN"/>
        </w:rPr>
      </w:pPr>
      <w:r>
        <w:rPr>
          <w:rFonts w:hint="eastAsia" w:ascii="Times New Roman" w:eastAsia="仿宋_GB2312"/>
          <w:sz w:val="32"/>
          <w:szCs w:val="32"/>
          <w:lang w:eastAsia="zh-CN"/>
        </w:rPr>
        <w:t>无。</w:t>
      </w:r>
      <w:bookmarkStart w:id="0" w:name="_GoBack"/>
      <w:bookmarkEnd w:id="0"/>
    </w:p>
    <w:p>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1.本单位2024年度政府性基金预算财政拨款收入支出决算表（公开07表）、国有资本经营预算财政拨款支出决算表（公开08表）、财政拨款“三公”经费支出决算表（公开09表）无相应收支，故空表列示。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2.由于决算公开表格中金额数值应当保留两位小数，公开数据为四舍五入计算结果，个别数据合计项与分项之和存在小数点后差额，特此说明。</w:t>
      </w:r>
    </w:p>
    <w:p>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第四部分名词解释</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w:t>
      </w:r>
      <w:r>
        <w:rPr>
          <w:rFonts w:ascii="Times New Roman" w:eastAsia="仿宋_GB2312"/>
          <w:b w:val="0"/>
          <w:sz w:val="32"/>
          <w:szCs w:val="32"/>
        </w:rPr>
        <w:t>指事业单位在专业业务活动及其辅助活动之外开展非独立核算经营活动发生的支出。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23E3D310-0A2C-43EC-8B2E-E59052114514}"/>
  </w:font>
  <w:font w:name="黑体">
    <w:panose1 w:val="02010609060101010101"/>
    <w:charset w:val="86"/>
    <w:family w:val="auto"/>
    <w:pitch w:val="default"/>
    <w:sig w:usb0="800002BF" w:usb1="38CF7CFA" w:usb2="00000016" w:usb3="00000000" w:csb0="00040001" w:csb1="00000000"/>
    <w:embedRegular r:id="rId2" w:fontKey="{4EE4405E-85B6-47E3-A463-69C68FB5B5BB}"/>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3" w:fontKey="{23F0684B-D591-4EF8-B7E2-9D41C37DCAD2}"/>
  </w:font>
  <w:font w:name="仿宋">
    <w:panose1 w:val="02010609060101010101"/>
    <w:charset w:val="86"/>
    <w:family w:val="modern"/>
    <w:pitch w:val="default"/>
    <w:sig w:usb0="800002BF" w:usb1="38CF7CFA" w:usb2="00000016" w:usb3="00000000" w:csb0="00040001" w:csb1="00000000"/>
    <w:embedRegular r:id="rId4" w:fontKey="{F4C59F56-4E37-42BF-8EA4-63C3C90DD6A0}"/>
  </w:font>
  <w:font w:name="Calibri Light">
    <w:panose1 w:val="020F0302020204030204"/>
    <w:charset w:val="00"/>
    <w:family w:val="auto"/>
    <w:pitch w:val="default"/>
    <w:sig w:usb0="A00002EF" w:usb1="4000207B" w:usb2="00000000" w:usb3="00000000" w:csb0="2000019F" w:csb1="00000000"/>
  </w:font>
  <w:font w:name="华文中宋">
    <w:altName w:val="宋体"/>
    <w:panose1 w:val="02010600040101010101"/>
    <w:charset w:val="86"/>
    <w:family w:val="auto"/>
    <w:pitch w:val="default"/>
    <w:sig w:usb0="00000000" w:usb1="0000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5" w:fontKey="{41E3129E-2340-4C04-B8AD-3B53DE7C78B8}"/>
  </w:font>
  <w:font w:name="方正小标宋_GBK">
    <w:panose1 w:val="02000000000000000000"/>
    <w:charset w:val="86"/>
    <w:family w:val="script"/>
    <w:pitch w:val="default"/>
    <w:sig w:usb0="A00002BF" w:usb1="38CF7CFA" w:usb2="00082016" w:usb3="00000000" w:csb0="00040001" w:csb1="00000000"/>
    <w:embedRegular r:id="rId6" w:fontKey="{341EBF3F-66B2-4D62-9663-7A19AFBDDD16}"/>
  </w:font>
  <w:font w:name="仿宋_GB2312">
    <w:panose1 w:val="02010609030101010101"/>
    <w:charset w:val="86"/>
    <w:family w:val="auto"/>
    <w:pitch w:val="default"/>
    <w:sig w:usb0="00000001" w:usb1="080E0000" w:usb2="00000000" w:usb3="00000000" w:csb0="00040000" w:csb1="00000000"/>
    <w:embedRegular r:id="rId7" w:fontKey="{BF3E1833-F283-46A8-91FF-2BC3D5D885E1}"/>
  </w:font>
  <w:font w:name="ArialUnicodeMS">
    <w:altName w:val="Malgun Gothic"/>
    <w:panose1 w:val="00000000000000000000"/>
    <w:charset w:val="81"/>
    <w:family w:val="auto"/>
    <w:pitch w:val="default"/>
    <w:sig w:usb0="00000000" w:usb1="00000000" w:usb2="00000010" w:usb3="00000000" w:csb0="00080001" w:csb1="00000000"/>
    <w:embedRegular r:id="rId8" w:fontKey="{D8D61DC0-755A-4FD8-BEAA-FE47DEF737B1}"/>
  </w:font>
  <w:font w:name="方正仿宋_GB2312">
    <w:altName w:val="仿宋"/>
    <w:panose1 w:val="02000000000000000000"/>
    <w:charset w:val="86"/>
    <w:family w:val="auto"/>
    <w:pitch w:val="default"/>
    <w:sig w:usb0="00000000" w:usb1="00000000" w:usb2="00000012" w:usb3="00000000" w:csb0="00040001" w:csb1="00000000"/>
    <w:embedRegular r:id="rId9" w:fontKey="{0735BA47-FD4C-46AA-BCDD-0C1B50D1F36B}"/>
  </w:font>
  <w:font w:name="Malgun Gothic">
    <w:panose1 w:val="020B0503020000020004"/>
    <w:charset w:val="81"/>
    <w:family w:val="auto"/>
    <w:pitch w:val="default"/>
    <w:sig w:usb0="900002AF" w:usb1="01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jc w:val="center"/>
    </w:pPr>
  </w:p>
  <w:p>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CA3C29"/>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0616E1"/>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002CA7"/>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654FC2"/>
    <w:rsid w:val="38803721"/>
    <w:rsid w:val="38925A62"/>
    <w:rsid w:val="389F5F4F"/>
    <w:rsid w:val="38C36BA2"/>
    <w:rsid w:val="38E11CEF"/>
    <w:rsid w:val="38F6595C"/>
    <w:rsid w:val="391702A7"/>
    <w:rsid w:val="39286EB6"/>
    <w:rsid w:val="39601DF4"/>
    <w:rsid w:val="396960F3"/>
    <w:rsid w:val="3976103C"/>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4FD9281F"/>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B0568D"/>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numbering" Target="numbering.xml"/><Relationship Id="rId17" Type="http://schemas.openxmlformats.org/officeDocument/2006/relationships/customXml" Target="../customXml/item1.xml"/><Relationship Id="rId16" Type="http://schemas.openxmlformats.org/officeDocument/2006/relationships/chart" Target="charts/chart6.xml"/><Relationship Id="rId15" Type="http://schemas.openxmlformats.org/officeDocument/2006/relationships/chart" Target="charts/chart5.xml"/><Relationship Id="rId14" Type="http://schemas.openxmlformats.org/officeDocument/2006/relationships/chart" Target="charts/chart4.xml"/><Relationship Id="rId13" Type="http://schemas.openxmlformats.org/officeDocument/2006/relationships/chart" Target="charts/chart3.xml"/><Relationship Id="rId12" Type="http://schemas.openxmlformats.org/officeDocument/2006/relationships/chart" Target="charts/chart2.xml"/><Relationship Id="rId11" Type="http://schemas.openxmlformats.org/officeDocument/2006/relationships/chart" Target="charts/chart1.xml"/><Relationship Id="rId10" Type="http://schemas.openxmlformats.org/officeDocument/2006/relationships/image" Target="media/image1.jpe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_rels/chart2.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3.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4.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5.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6.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77.96</c:v>
                </c:pt>
                <c:pt idx="1">
                  <c:v>75.16</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751562.85</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751562.85</c:v>
                </c:pt>
                <c:pt idx="1">
                  <c:v>0</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77.96</c:v>
                </c:pt>
                <c:pt idx="1">
                  <c:v>77.96</c:v>
                </c:pt>
                <c:pt idx="2">
                  <c:v>77.96</c:v>
                </c:pt>
                <c:pt idx="3">
                  <c:v>77.96</c:v>
                </c:pt>
                <c:pt idx="4">
                  <c:v>0</c:v>
                </c:pt>
                <c:pt idx="5">
                  <c:v>0</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75.16</c:v>
                </c:pt>
                <c:pt idx="1">
                  <c:v>75.16</c:v>
                </c:pt>
                <c:pt idx="2">
                  <c:v>75.16</c:v>
                </c:pt>
                <c:pt idx="3">
                  <c:v>75.16</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74.39</c:v>
                </c:pt>
                <c:pt idx="1">
                  <c:v>74.39</c:v>
                </c:pt>
                <c:pt idx="2">
                  <c:v>74.39</c:v>
                </c:pt>
                <c:pt idx="3">
                  <c:v>74.39</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75.16</c:v>
                </c:pt>
                <c:pt idx="1">
                  <c:v>75.16</c:v>
                </c:pt>
                <c:pt idx="2">
                  <c:v>75.16</c:v>
                </c:pt>
                <c:pt idx="3">
                  <c:v>75.16</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75.16</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customShpExts>
  <s:tags>
    <s:tag s:spid="_x0000_s1026">
      <s:item s:name="KSO_DOCER_RESOURCE_TRACE_INFO" s:val="{&quot;id&quot;:&quot;&quot;,&quot;origin&quot;:0,&quot;type&quot;:&quot;wordart&quot;,&quot;user&quot;:&quot;292216292&quot;}"/>
    </s:tag>
  </s:tag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35</Pages>
  <Words>611</Words>
  <Characters>2169</Characters>
  <Lines>86</Lines>
  <Paragraphs>24</Paragraphs>
  <TotalTime>1</TotalTime>
  <ScaleCrop>false</ScaleCrop>
  <LinksUpToDate>false</LinksUpToDate>
  <CharactersWithSpaces>2170</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  与繁華相愛</cp:lastModifiedBy>
  <cp:lastPrinted>2023-08-04T01:00:00Z</cp:lastPrinted>
  <dcterms:modified xsi:type="dcterms:W3CDTF">2025-09-09T09:14:00Z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48959A5E9F2A49098F67A80F3C952311</vt:lpwstr>
  </property>
  <property fmtid="{D5CDD505-2E9C-101B-9397-08002B2CF9AE}" pid="4" name="KSOTemplateUUID">
    <vt:lpwstr>v1.0_mb_S7ajbG3IpAnL1wSthNCxfw==</vt:lpwstr>
  </property>
  <property fmtid="{D5CDD505-2E9C-101B-9397-08002B2CF9AE}" pid="5" name="KSOTemplateDocerSaveRecord">
    <vt:lpwstr>eyJoZGlkIjoiYjA3YzVjY2RhYzM1OWI4MmYzZjdlYWUzZWM2YTQyNTYiLCJ1c2VySWQiOiIxNTIwMzY1OTkzIn0=</vt:lpwstr>
  </property>
</Properties>
</file>