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auto"/>
        <w:jc w:val="both"/>
        <w:rPr>
          <w:rFonts w:hint="eastAsia"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0">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extLst xmlns:a="http://schemas.openxmlformats.org/drawingml/2006/main">
                    <a:ext uri="{7FBC4E63-A832-4D11-8238-D91031DB1400}">
                      <s:tag xmlns="http://www.wps.cn/officeDocument/2013/wpsCustomData" xmlns:s="http://www.wps.cn/officeDocument/2013/wpsCustomData">
                        <s:item s:name="KSO_DOCER_RESOURCE_TRACE_INFO" s:val="{&quot;id&quot;:&quot;&quot;,&quot;origin&quot;:0,&quot;type&quot;:&quot;wordart&quot;,&quot;user&quot;:&quot;292216292&quot;}"/>
                      </s:tag>
                    </a:ext>
                  </a:extLst>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F2yz97YAAAACgEAAA8AAAAAAAAAAQAgAAAAIgAAAGRycy9kb3ducmV2LnhtbFBL&#10;AQIUABQAAAAIAIdO4kCjWvfx9gEAAM4DAAAOAAAAAAAAAAEAIAAAACcBAABkcnMvZTJvRG9jLnht&#10;bFBLBQYAAAAABgAGAFkBAACPBQAAAAA=&#10;">
                <v:fill on="f" focussize="0,0"/>
                <v:stroke on="f"/>
                <v:imagedata o:title=""/>
                <o:lock v:ext="edit" aspectratio="f"/>
                <v:textbox>
                  <w:txbxContent>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v:textbox>
              </v:shape>
            </w:pict>
          </mc:Fallback>
        </mc:AlternateContent>
      </w: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438001</w:t>
      </w:r>
    </w:p>
    <w:p>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：石家庄市人民政府外事办公室（本级）</w:t>
      </w:r>
    </w:p>
    <w:p>
      <w:pPr>
        <w:spacing w:line="600" w:lineRule="auto"/>
        <w:jc w:val="both"/>
        <w:rPr>
          <w:rFonts w:hint="eastAsia" w:ascii="楷体_GB2312" w:hAnsi="楷体_GB2312" w:eastAsia="楷体_GB2312" w:cs="楷体_GB2312"/>
          <w:color w:val="000000"/>
          <w:sz w:val="40"/>
          <w:szCs w:val="40"/>
        </w:rPr>
        <w:sectPr>
          <w:footerReference r:id="rId3" w:type="default"/>
          <w:pgSz w:w="11906" w:h="16838"/>
          <w:pgMar w:top="2098" w:right="1417" w:bottom="1871" w:left="1417" w:header="851" w:footer="992" w:gutter="0"/>
          <w:pgBorders>
            <w:top w:val="none" w:sz="0" w:space="0"/>
            <w:left w:val="none" w:sz="0" w:space="0"/>
            <w:bottom w:val="none" w:sz="0" w:space="0"/>
            <w:right w:val="none" w:sz="0" w:space="0"/>
          </w:pgBorders>
          <w:cols w:space="720" w:num="1"/>
          <w:docGrid w:type="lines" w:linePitch="312" w:charSpace="0"/>
        </w:sectPr>
      </w:pPr>
    </w:p>
    <w:p>
      <w:pPr>
        <w:spacing w:line="600" w:lineRule="auto"/>
        <w:jc w:val="center"/>
        <w:rPr>
          <w:rFonts w:hint="eastAsia" w:ascii="楷体_GB2312" w:hAnsi="楷体_GB2312" w:eastAsia="楷体_GB2312" w:cs="楷体_GB2312"/>
          <w:color w:val="000000"/>
          <w:sz w:val="40"/>
          <w:szCs w:val="40"/>
        </w:rPr>
      </w:pPr>
    </w:p>
    <w:p>
      <w:pPr>
        <w:rPr>
          <w:rFonts w:hint="eastAsia" w:ascii="黑体" w:hAnsi="黑体" w:eastAsia="黑体" w:cs="黑体"/>
          <w:b/>
          <w:bCs/>
          <w:sz w:val="32"/>
          <w:szCs w:val="36"/>
          <w:highlight w:val="yellow"/>
        </w:rPr>
      </w:pPr>
    </w:p>
    <w:p>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方正小标宋_GBK"/>
          <w:b w:val="0"/>
          <w:sz w:val="72"/>
          <w:szCs w:val="72"/>
        </w:rPr>
        <w:t>石家庄市人民政府外事办公室（本级）</w:t>
      </w:r>
    </w:p>
    <w:p>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仿宋_GB2312"/>
          <w:b w:val="0"/>
          <w:sz w:val="72"/>
          <w:szCs w:val="72"/>
        </w:rPr>
        <w:t>2024</w:t>
      </w:r>
      <w:r>
        <w:rPr>
          <w:rFonts w:ascii="Times New Roman" w:eastAsia="方正小标宋_GBK"/>
          <w:b w:val="0"/>
          <w:sz w:val="72"/>
          <w:szCs w:val="72"/>
        </w:rPr>
        <w:t>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both"/>
        <w:rPr>
          <w:rFonts w:ascii="黑体" w:hAnsi="黑体" w:eastAsia="黑体" w:cs="黑体"/>
          <w:sz w:val="56"/>
          <w:szCs w:val="72"/>
        </w:rPr>
      </w:pPr>
    </w:p>
    <w:p>
      <w:pPr>
        <w:widowControl/>
        <w:spacing w:before="0" w:beforeLines="0" w:beforeAutospacing="0" w:after="0" w:afterLines="0" w:afterAutospacing="0" w:line="360" w:lineRule="auto"/>
        <w:jc w:val="center"/>
        <w:rPr>
          <w:rFonts w:ascii="Times New Roman" w:eastAsia="楷体_GB2312"/>
          <w:b w:val="0"/>
          <w:sz w:val="44"/>
          <w:szCs w:val="44"/>
        </w:rPr>
      </w:pPr>
      <w:r>
        <w:rPr>
          <w:rFonts w:ascii="Times New Roman" w:eastAsia="楷体_GB2312"/>
          <w:b w:val="0"/>
          <w:sz w:val="44"/>
          <w:szCs w:val="44"/>
        </w:rPr>
        <w:t>石家庄市人民政府外事办公室（本级）</w:t>
      </w:r>
    </w:p>
    <w:p>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二〇二五年八月</w:t>
      </w:r>
    </w:p>
    <w:p>
      <w:pPr>
        <w:snapToGrid w:val="0"/>
        <w:jc w:val="left"/>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snapToGrid w:val="0"/>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pPr>
        <w:widowControl/>
        <w:spacing w:line="600" w:lineRule="exact"/>
        <w:jc w:val="left"/>
        <w:rPr>
          <w:rFonts w:ascii="黑体" w:hAnsi="黑体" w:eastAsia="黑体" w:cs="黑体"/>
          <w:bCs/>
          <w:sz w:val="32"/>
          <w:szCs w:val="32"/>
        </w:rPr>
      </w:pPr>
    </w:p>
    <w:p>
      <w:pPr>
        <w:tabs>
          <w:tab w:val="left" w:pos="2728"/>
        </w:tabs>
        <w:jc w:val="center"/>
        <w:rPr>
          <w:rFonts w:ascii="黑体" w:hAnsi="Times New Roman" w:eastAsia="黑体" w:cs="Times New Roman"/>
          <w:sz w:val="48"/>
          <w:szCs w:val="48"/>
        </w:rPr>
      </w:pP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目录</w:t>
      </w:r>
    </w:p>
    <w:p>
      <w:pPr>
        <w:widowControl/>
        <w:spacing w:after="160" w:line="580" w:lineRule="exact"/>
        <w:ind w:firstLine="640" w:firstLineChars="200"/>
        <w:rPr>
          <w:rFonts w:ascii="Times New Roman" w:hAnsi="Times New Roman" w:eastAsia="黑体" w:cs="Times New Roman"/>
          <w:sz w:val="32"/>
          <w:szCs w:val="32"/>
        </w:rPr>
      </w:pPr>
    </w:p>
    <w:p>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第一部分单位概况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一、单位职责</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二、机构设置</w:t>
      </w:r>
    </w:p>
    <w:p>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第二部分2024年度部门决算报表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第三部分2024年度部门决算情况说明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第四部分名词解释</w:t>
      </w:r>
    </w:p>
    <w:p>
      <w:pPr>
        <w:widowControl/>
        <w:spacing w:after="160" w:line="580" w:lineRule="exact"/>
        <w:rPr>
          <w:rFonts w:hint="eastAsia" w:ascii="Times New Roman" w:hAnsi="Times New Roman" w:eastAsia="黑体" w:cs="Times New Roman"/>
          <w:sz w:val="32"/>
          <w:szCs w:val="32"/>
          <w:lang w:val="en-US" w:eastAsia="zh-CN"/>
        </w:rPr>
        <w:sectPr>
          <w:headerReference r:id="rId5" w:type="first"/>
          <w:footerReference r:id="rId7" w:type="first"/>
          <w:headerReference r:id="rId4" w:type="default"/>
          <w:footerReference r:id="rId6"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第一部分单位概况</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一、单位职责</w:t>
      </w:r>
    </w:p>
    <w:p>
      <w:pPr>
        <w:widowControl/>
        <w:spacing w:before="0" w:beforeLines="0" w:beforeAutospacing="0" w:after="0" w:afterLines="0" w:afterAutospacing="0" w:line="360" w:lineRule="auto"/>
        <w:ind w:firstLine="360" w:firstLineChars="200"/>
        <w:jc w:val="left"/>
        <w:rPr>
          <w:rFonts w:hint="eastAsia" w:ascii="Times New Roman" w:eastAsia="仿宋_GB2312"/>
          <w:b w:val="0"/>
          <w:sz w:val="32"/>
          <w:szCs w:val="32"/>
        </w:rPr>
      </w:pPr>
      <w:r>
        <w:rPr>
          <w:rFonts w:hint="eastAsia" w:ascii="Arial" w:hAnsi="Arial" w:eastAsia="宋体" w:cs="Arial"/>
          <w:color w:val="000000"/>
          <w:sz w:val="18"/>
          <w:szCs w:val="18"/>
          <w:shd w:val="clear" w:color="auto" w:fill="FFFFFF"/>
          <w:lang w:val="en-US" w:eastAsia="zh-CN"/>
        </w:rPr>
        <w:t xml:space="preserve">   </w:t>
      </w:r>
      <w:r>
        <w:rPr>
          <w:rFonts w:hint="eastAsia" w:ascii="Times New Roman" w:eastAsia="仿宋_GB2312"/>
          <w:b w:val="0"/>
          <w:sz w:val="32"/>
          <w:szCs w:val="32"/>
        </w:rPr>
        <w:t>（一）贯彻执行党和国家对外方针政策、涉港澳方针政策和法律法规。贯彻执行市委市政府外事、港澳工作的决策部署,拟定全市性外事、港澳工作规定。</w:t>
      </w:r>
    </w:p>
    <w:p>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lang w:eastAsia="zh-CN"/>
        </w:rPr>
        <w:t>（二）</w:t>
      </w:r>
      <w:r>
        <w:rPr>
          <w:rFonts w:hint="eastAsia" w:ascii="Times New Roman" w:eastAsia="仿宋_GB2312"/>
          <w:b w:val="0"/>
          <w:sz w:val="32"/>
          <w:szCs w:val="32"/>
        </w:rPr>
        <w:t>贯彻执行和协调推进全市对外交流合作规划和部署,对全市外事工作履行综合归口管理职能。</w:t>
      </w:r>
    </w:p>
    <w:p>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lang w:eastAsia="zh-CN"/>
        </w:rPr>
        <w:t>（三）</w:t>
      </w:r>
      <w:r>
        <w:rPr>
          <w:rFonts w:hint="eastAsia" w:ascii="Times New Roman" w:eastAsia="仿宋_GB2312"/>
          <w:b w:val="0"/>
          <w:sz w:val="32"/>
          <w:szCs w:val="32"/>
        </w:rPr>
        <w:t>承担我市涉港澳事务综合性工作,负责我市与港澳的交往。</w:t>
      </w:r>
    </w:p>
    <w:p>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lang w:eastAsia="zh-CN"/>
        </w:rPr>
        <w:t>（四）</w:t>
      </w:r>
      <w:r>
        <w:rPr>
          <w:rFonts w:hint="eastAsia" w:ascii="Times New Roman" w:eastAsia="仿宋_GB2312"/>
          <w:b w:val="0"/>
          <w:sz w:val="32"/>
          <w:szCs w:val="32"/>
        </w:rPr>
        <w:t>承办市领导对外交往事宜,会同有关部门推动全市各领域对外交往。</w:t>
      </w:r>
    </w:p>
    <w:p>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（五）负责指导和管理全市因公出国、赴港澳工作。</w:t>
      </w:r>
    </w:p>
    <w:p>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（六）负责重要外宾邀请、报批工作,组织接待来访的党宾、国宾、政要等重要外宾及外国驻华外交人员。</w:t>
      </w:r>
    </w:p>
    <w:p>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（七）负责我市境外机构和公民领事保护协调工作,统筹管理我市邀请外国人来华签证工作,会同或配合有关部门处理我市的涉外事务。</w:t>
      </w:r>
    </w:p>
    <w:p>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（八）办理来我市采访的外国记者相关事务,会同有关部门办理港澳记者来我市采访的有关事宜,会同有关部门开展对外宣传工作。</w:t>
      </w:r>
    </w:p>
    <w:p>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（九）统筹协调全市友好城市工作,指导石家庄市人民对外友好协会的工作。</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hint="eastAsia" w:ascii="Times New Roman" w:eastAsia="仿宋_GB2312"/>
          <w:b w:val="0"/>
          <w:sz w:val="32"/>
          <w:szCs w:val="32"/>
        </w:rPr>
        <w:t>（十）完成省委外事工作委员会办公室、省外办和市委市政府交办的其他任务。</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从决算编报单位构成看，纳入2024年度本部门决算汇编范围的独立核算单位（以下简称“单位”）共</w:t>
      </w:r>
      <w:r>
        <w:rPr>
          <w:rFonts w:hint="eastAsia" w:ascii="Times New Roman" w:eastAsia="仿宋_GB2312"/>
          <w:b w:val="0"/>
          <w:sz w:val="32"/>
          <w:szCs w:val="32"/>
          <w:lang w:val="en-US" w:eastAsia="zh-CN"/>
        </w:rPr>
        <w:t>1</w:t>
      </w:r>
      <w:r>
        <w:rPr>
          <w:rFonts w:ascii="Times New Roman" w:eastAsia="仿宋_GB2312"/>
          <w:b w:val="0"/>
          <w:sz w:val="32"/>
          <w:szCs w:val="32"/>
        </w:rPr>
        <w:t>个，具体情况如下：</w:t>
      </w:r>
    </w:p>
    <w:tbl>
      <w:tblPr>
        <w:tblStyle w:val="11"/>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4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石家庄市人民政府外事办公室（本级）</w:t>
            </w:r>
          </w:p>
        </w:tc>
        <w:tc>
          <w:tcPr>
            <w:tcW w:w="244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行政单位</w:t>
            </w:r>
          </w:p>
        </w:tc>
        <w:tc>
          <w:tcPr>
            <w:tcW w:w="266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全额</w:t>
            </w:r>
          </w:p>
        </w:tc>
      </w:tr>
    </w:tbl>
    <w:p>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第二部分</w:t>
      </w:r>
      <w:r>
        <w:rPr>
          <w:rFonts w:ascii="Times New Roman" w:eastAsia="仿宋_GB2312"/>
          <w:b w:val="0"/>
          <w:sz w:val="44"/>
          <w:szCs w:val="44"/>
        </w:rPr>
        <w:t>2024</w:t>
      </w:r>
      <w:r>
        <w:rPr>
          <w:rFonts w:ascii="Times New Roman" w:eastAsia="黑体"/>
          <w:b w:val="0"/>
          <w:sz w:val="44"/>
          <w:szCs w:val="44"/>
        </w:rPr>
        <w:t>年度部门决算表</w:t>
      </w:r>
    </w:p>
    <w:tbl>
      <w:tblPr>
        <w:tblStyle w:val="11"/>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部门（单位）：石家庄市人民政府外事办公室（本级）</w:t>
            </w:r>
          </w:p>
        </w:tc>
        <w:tc>
          <w:tcPr>
            <w:tcW w:w="1262" w:type="pct"/>
            <w:gridSpan w:val="2"/>
            <w:tcBorders>
              <w:top w:val="nil"/>
              <w:left w:val="nil"/>
              <w:bottom w:val="single" w:color="auto" w:sz="4" w:space="0"/>
              <w:right w:val="nil"/>
            </w:tcBorders>
            <w:noWrap/>
            <w:vAlign w:val="bottom"/>
          </w:tcPr>
          <w:p>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57" w:type="pct"/>
            <w:gridSpan w:val="3"/>
            <w:tcBorders>
              <w:top w:val="nil"/>
              <w:left w:val="nil"/>
              <w:bottom w:val="single" w:color="auto" w:sz="4" w:space="0"/>
              <w:right w:val="nil"/>
            </w:tcBorders>
            <w:noWrap/>
            <w:vAlign w:val="bottom"/>
          </w:tcPr>
          <w:p>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826"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82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1,071.84</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856.14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125.94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37.76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826" w:type="pct"/>
            <w:gridSpan w:val="2"/>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auto"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7" w:type="pct"/>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826" w:type="pct"/>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51.99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826" w:type="pct"/>
            <w:gridSpan w:val="2"/>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826" w:type="pct"/>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1,071.84</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1,071.84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1,071.84</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1,071.84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w:t>
            </w:r>
          </w:p>
          <w:p>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部门（单位）：石家庄市人民政府外事办公室（本级）                                                                                                         </w:t>
            </w:r>
          </w:p>
        </w:tc>
        <w:tc>
          <w:tcPr>
            <w:tcW w:w="3405" w:type="dxa"/>
            <w:gridSpan w:val="4"/>
            <w:tcBorders>
              <w:top w:val="nil"/>
              <w:left w:val="nil"/>
              <w:bottom w:val="single" w:color="auto" w:sz="4" w:space="0"/>
              <w:right w:val="nil"/>
            </w:tcBorders>
            <w:noWrap/>
            <w:vAlign w:val="bottom"/>
          </w:tcPr>
          <w:p>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1,071.84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1,071.84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一般公共服务支出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856.14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856.14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政府办公厅（室）及相关机构事务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856.14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856.14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625.86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625.86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一般行政管理事务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163.12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163.12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2010399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其他政府办公厅（室）及相关机构事务支出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67.16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67.16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125.94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125.94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125.94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125.94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行政单位离退休</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68.01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68.01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57.93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57.93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37.76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37.76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37.76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37.76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行政单位医疗</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37.76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37.76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51.99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51.99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51.99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51.99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51.99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51.99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1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部门（单位）：石家庄市人民政府外事办公室（本级）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403" w:type="pct"/>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34" w:type="pct"/>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03"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602"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602"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795"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635"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0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03"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2" w:type="pct"/>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2"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2" w:type="pct"/>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2"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795"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1,071.84</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841.55</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230.29</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856.14</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625.86</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230.29</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政府办公厅（室）及相关机构事务</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856.14</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625.86</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230.29</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625.86</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625.86</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2010302</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163.12</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163.12</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2010399</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其他政府办公厅（室）及相关机构事务支出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67.16</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67.16</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125.94</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125.94</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125.94</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125.94</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行政单位离退休</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68.01</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68.01</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57.93</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57.93</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37.76</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37.76</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37.76</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37.76</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37.76</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37.76</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51.99</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51.99</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51.99</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51.99</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51.99</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51.99</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281"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部门（单位）：石家庄市人民政府外事办公室（本级）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649" w:type="pct"/>
            <w:gridSpan w:val="3"/>
            <w:tcBorders>
              <w:top w:val="nil"/>
              <w:left w:val="nil"/>
              <w:bottom w:val="single" w:color="auto" w:sz="4" w:space="0"/>
              <w:right w:val="nil"/>
            </w:tcBorders>
            <w:noWrap/>
            <w:vAlign w:val="bottom"/>
          </w:tcPr>
          <w:p>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919" w:type="pct"/>
            <w:gridSpan w:val="4"/>
            <w:tcBorders>
              <w:top w:val="nil"/>
              <w:left w:val="nil"/>
              <w:bottom w:val="single" w:color="auto" w:sz="4" w:space="0"/>
              <w:right w:val="nil"/>
            </w:tcBorders>
            <w:noWrap/>
            <w:vAlign w:val="bottom"/>
          </w:tcPr>
          <w:p>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3276" w:type="pct"/>
            <w:gridSpan w:val="8"/>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266"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609"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895" w:type="pct"/>
            <w:gridSpan w:val="2"/>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6"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552" w:type="pct"/>
            <w:gridSpan w:val="2"/>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520" w:type="pct"/>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520" w:type="pct"/>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520" w:type="pct"/>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09"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95" w:type="pct"/>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52" w:type="pct"/>
            <w:gridSpan w:val="2"/>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609"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552"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520"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520"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520" w:type="pct"/>
            <w:tcBorders>
              <w:top w:val="nil"/>
              <w:left w:val="nil"/>
              <w:bottom w:val="single" w:color="000000" w:sz="4" w:space="0"/>
              <w:right w:val="single" w:color="000000" w:sz="8"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1,071.84</w:t>
            </w: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856.14</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856.14</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125.94</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125.94</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37.76</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37.76</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609" w:type="pct"/>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auto"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6" w:type="pct"/>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552" w:type="pct"/>
            <w:gridSpan w:val="2"/>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51.99</w:t>
            </w: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51.99</w:t>
            </w: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609" w:type="pct"/>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552" w:type="pct"/>
            <w:gridSpan w:val="2"/>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b/>
                <w:bCs/>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1,071.84</w:t>
            </w: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1,071.84</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1,071.84</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both"/>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both"/>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609" w:type="pct"/>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1,071.84</w:t>
            </w:r>
          </w:p>
        </w:tc>
        <w:tc>
          <w:tcPr>
            <w:tcW w:w="895" w:type="pct"/>
            <w:gridSpan w:val="2"/>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552" w:type="pct"/>
            <w:gridSpan w:val="2"/>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1,071.84</w:t>
            </w:r>
          </w:p>
        </w:tc>
        <w:tc>
          <w:tcPr>
            <w:tcW w:w="520" w:type="pct"/>
            <w:tcBorders>
              <w:top w:val="nil"/>
              <w:left w:val="nil"/>
              <w:bottom w:val="single" w:color="000000" w:sz="8" w:space="0"/>
              <w:right w:val="single" w:color="000000" w:sz="4" w:space="0"/>
            </w:tcBorders>
            <w:noWrap/>
            <w:vAlign w:val="center"/>
          </w:tcPr>
          <w:p>
            <w:pPr>
              <w:jc w:val="right"/>
              <w:rPr>
                <w:rFonts w:hint="default" w:ascii="Times New Roman" w:hAnsi="Times New Roman" w:cs="Times New Roman"/>
                <w:sz w:val="20"/>
                <w:szCs w:val="20"/>
                <w:highlight w:val="none"/>
              </w:rPr>
            </w:pPr>
          </w:p>
          <w:p>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1,071.84</w:t>
            </w:r>
          </w:p>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348" w:type="pct"/>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789"/>
        <w:gridCol w:w="3491"/>
        <w:gridCol w:w="1027"/>
        <w:gridCol w:w="468"/>
        <w:gridCol w:w="490"/>
        <w:gridCol w:w="335"/>
        <w:gridCol w:w="109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5000" w:type="pct"/>
            <w:gridSpan w:val="7"/>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5000" w:type="pct"/>
            <w:gridSpan w:val="7"/>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1868" w:type="pct"/>
            <w:gridSpan w:val="3"/>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编制部门（单位）：石家庄市人民政府外事办公室（本级）</w:t>
            </w:r>
          </w:p>
        </w:tc>
        <w:tc>
          <w:tcPr>
            <w:tcW w:w="1541" w:type="pct"/>
            <w:gridSpan w:val="2"/>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590" w:type="pct"/>
            <w:gridSpan w:val="2"/>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3538" w:type="pct"/>
            <w:gridSpan w:val="5"/>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756" w:type="pct"/>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218" w:type="pct"/>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1218"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1,071.84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841.55</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230.29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856.14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625.86</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230.29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政府办公厅（室）及相关机构事务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856.14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625.86</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230.29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2010301</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625.86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625.86</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2010302</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163.12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163.12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2010399</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其他政府办公厅（室）及相关机构事务支出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67.16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67.16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125.94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125.94</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125.94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125.94</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行政单位离退休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68.01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68.01</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57.93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57.93</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37.76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37.76</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37.76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37.76</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37.76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37.76</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51.99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51.99</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51.99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51.99</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51.99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51.99</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部门（单位）：石家庄市人民政府外事办公室（本级）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865" w:type="pct"/>
            <w:gridSpan w:val="2"/>
            <w:tcBorders>
              <w:top w:val="nil"/>
              <w:left w:val="nil"/>
              <w:bottom w:val="single" w:color="auto" w:sz="4" w:space="0"/>
              <w:right w:val="nil"/>
            </w:tcBorders>
            <w:noWrap/>
            <w:vAlign w:val="bottom"/>
          </w:tcPr>
          <w:p>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1841" w:type="pct"/>
            <w:gridSpan w:val="4"/>
            <w:tcBorders>
              <w:top w:val="nil"/>
              <w:left w:val="nil"/>
              <w:bottom w:val="single" w:color="auto" w:sz="4" w:space="0"/>
              <w:right w:val="nil"/>
            </w:tcBorders>
            <w:noWrap/>
            <w:vAlign w:val="bottom"/>
          </w:tcPr>
          <w:p>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681.20</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92.15</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247.29</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4.41</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112.10</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146.81</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57.93</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17.94</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37.76</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1.25</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12.69</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51.99</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26.06</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68.20</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0.64</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0.30</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68.01</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0.54</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5.18</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0.19</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3.82</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3.86</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26.75</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16.04</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749.40</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92.15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部门（单位）：石家庄市人民政府外事办公室（本级）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1217" w:type="pct"/>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854" w:type="pct"/>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3"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489"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1609" w:type="pct"/>
            <w:gridSpan w:val="4"/>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973" w:type="pct"/>
            <w:vMerge w:val="restart"/>
            <w:tcBorders>
              <w:top w:val="single" w:color="auto" w:sz="4" w:space="0"/>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703"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2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534" w:type="pct"/>
            <w:gridSpan w:val="2"/>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546"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973" w:type="pct"/>
            <w:vMerge w:val="continue"/>
            <w:tcBorders>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3" w:type="pct"/>
            <w:tcBorders>
              <w:top w:val="nil"/>
              <w:left w:val="single" w:color="auto"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489"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528"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534"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54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973"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23" w:type="pct"/>
            <w:tcBorders>
              <w:top w:val="nil"/>
              <w:left w:val="single" w:color="auto"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34"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7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注：本表反映部门本年度政府性基金预算财政拨款收入、支出及结转和结余情况。（如无相关数据，则需注明空表列示）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63" w:type="pct"/>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9"/>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74" w:type="pct"/>
            <w:gridSpan w:val="2"/>
            <w:tcBorders>
              <w:top w:val="nil"/>
              <w:left w:val="nil"/>
              <w:bottom w:val="single" w:color="auto" w:sz="4" w:space="0"/>
              <w:right w:val="nil"/>
            </w:tcBorders>
            <w:noWrap/>
            <w:vAlign w:val="bottom"/>
          </w:tcPr>
          <w:p>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部门（单位）：石家庄市人民政府外事办公室（本级）</w:t>
            </w:r>
          </w:p>
        </w:tc>
        <w:tc>
          <w:tcPr>
            <w:tcW w:w="1421" w:type="pct"/>
            <w:gridSpan w:val="4"/>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603" w:type="pct"/>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2337" w:type="pct"/>
            <w:gridSpan w:val="6"/>
            <w:vMerge w:val="restart"/>
            <w:tcBorders>
              <w:top w:val="single" w:color="auto" w:sz="4" w:space="0"/>
              <w:left w:val="single" w:color="auto" w:sz="4" w:space="0"/>
              <w:right w:val="single" w:color="000000"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2337" w:type="pct"/>
            <w:gridSpan w:val="6"/>
            <w:vMerge w:val="continue"/>
            <w:tcBorders>
              <w:left w:val="single" w:color="auto"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074" w:type="pct"/>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709" w:type="pct"/>
            <w:gridSpan w:val="2"/>
            <w:vMerge w:val="restart"/>
            <w:tcBorders>
              <w:top w:val="nil"/>
              <w:left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709" w:type="pct"/>
            <w:gridSpan w:val="3"/>
            <w:vMerge w:val="restart"/>
            <w:tcBorders>
              <w:top w:val="nil"/>
              <w:left w:val="nil"/>
              <w:right w:val="single" w:color="000000"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919" w:type="pct"/>
            <w:vMerge w:val="restart"/>
            <w:tcBorders>
              <w:top w:val="nil"/>
              <w:left w:val="nil"/>
              <w:right w:val="single" w:color="000000"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continue"/>
            <w:tcBorders>
              <w:top w:val="single" w:color="auto" w:sz="4" w:space="0"/>
              <w:left w:val="single" w:color="auto" w:sz="4" w:space="0"/>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74" w:type="pct"/>
            <w:gridSpan w:val="2"/>
            <w:vMerge w:val="continue"/>
            <w:tcBorders>
              <w:top w:val="single" w:color="auto" w:sz="4" w:space="0"/>
              <w:left w:val="nil"/>
              <w:bottom w:val="single" w:color="auto" w:sz="4" w:space="0"/>
              <w:right w:val="single" w:color="auto"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2"/>
            <w:vMerge w:val="continue"/>
            <w:tcBorders>
              <w:left w:val="single" w:color="auto"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3"/>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19" w:type="pct"/>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auto" w:sz="4" w:space="0"/>
              <w:left w:val="single" w:color="auto" w:sz="4" w:space="0"/>
              <w:bottom w:val="single" w:color="000000" w:sz="4" w:space="0"/>
              <w:right w:val="single" w:color="auto"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706" w:type="pct"/>
            <w:tcBorders>
              <w:top w:val="nil"/>
              <w:left w:val="single" w:color="auto"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706" w:type="pct"/>
            <w:gridSpan w:val="3"/>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924"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706" w:type="pct"/>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06" w:type="pct"/>
            <w:gridSpan w:val="3"/>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24" w:type="pct"/>
            <w:gridSpan w:val="2"/>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注：本表反映部门本年度国有资本经营预算财政拨款支出情况。（如无相关数据，则需注明空表列示）</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4"/>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部门（单位）：石家庄市人民政府外事办公室（本级）</w:t>
            </w:r>
          </w:p>
        </w:tc>
        <w:tc>
          <w:tcPr>
            <w:tcW w:w="933" w:type="pct"/>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2129" w:type="pct"/>
            <w:gridSpan w:val="6"/>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2493" w:type="pct"/>
            <w:gridSpan w:val="7"/>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528"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217" w:type="pct"/>
            <w:gridSpan w:val="4"/>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366" w:type="pct"/>
            <w:gridSpan w:val="2"/>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488"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126" w:type="pct"/>
            <w:gridSpan w:val="3"/>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528" w:type="pct"/>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0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58"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66" w:type="pct"/>
            <w:gridSpan w:val="2"/>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488" w:type="pct"/>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42"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0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528"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350"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40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458"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335"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366"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488"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275"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442"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40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511"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90.38</w:t>
            </w:r>
          </w:p>
        </w:tc>
        <w:tc>
          <w:tcPr>
            <w:tcW w:w="52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74.41</w:t>
            </w:r>
          </w:p>
        </w:tc>
        <w:tc>
          <w:tcPr>
            <w:tcW w:w="35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4.00</w:t>
            </w:r>
          </w:p>
        </w:tc>
        <w:tc>
          <w:tcPr>
            <w:tcW w:w="407"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458"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4.00</w:t>
            </w:r>
          </w:p>
        </w:tc>
        <w:tc>
          <w:tcPr>
            <w:tcW w:w="33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11.97</w:t>
            </w:r>
          </w:p>
        </w:tc>
        <w:tc>
          <w:tcPr>
            <w:tcW w:w="36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90.24</w:t>
            </w:r>
          </w:p>
        </w:tc>
        <w:tc>
          <w:tcPr>
            <w:tcW w:w="48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74.41</w:t>
            </w:r>
          </w:p>
        </w:tc>
        <w:tc>
          <w:tcPr>
            <w:tcW w:w="27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3.86</w:t>
            </w:r>
          </w:p>
        </w:tc>
        <w:tc>
          <w:tcPr>
            <w:tcW w:w="44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3.86</w:t>
            </w:r>
          </w:p>
        </w:tc>
        <w:tc>
          <w:tcPr>
            <w:tcW w:w="511"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11.97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headerReference r:id="rId8"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第三部分</w:t>
      </w:r>
      <w:r>
        <w:rPr>
          <w:rFonts w:ascii="Times New Roman" w:eastAsia="仿宋_GB2312"/>
          <w:b w:val="0"/>
          <w:sz w:val="44"/>
          <w:szCs w:val="44"/>
        </w:rPr>
        <w:t>2024</w:t>
      </w:r>
      <w:r>
        <w:rPr>
          <w:rFonts w:ascii="Times New Roman" w:eastAsia="黑体"/>
          <w:b w:val="0"/>
          <w:sz w:val="44"/>
          <w:szCs w:val="44"/>
        </w:rPr>
        <w:t>年度部门决算情况说明</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一、收入支出决算总体情况说明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本单位2024年度收、支总计（含结转和结余）均为1,071.84万元。与2023年度决算相比，收支各减少48.20万元，下降4.3%，主要原因是</w:t>
      </w:r>
      <w:r>
        <w:rPr>
          <w:rFonts w:hint="eastAsia" w:ascii="Times New Roman" w:eastAsia="仿宋_GB2312"/>
          <w:b w:val="0"/>
          <w:sz w:val="32"/>
          <w:szCs w:val="32"/>
          <w:lang w:eastAsia="zh-CN"/>
        </w:rPr>
        <w:t>本年人员经费调整、项目经费支出减少</w:t>
      </w:r>
      <w:r>
        <w:rPr>
          <w:rFonts w:ascii="Times New Roman" w:eastAsia="仿宋_GB2312"/>
          <w:b w:val="0"/>
          <w:sz w:val="32"/>
          <w:szCs w:val="32"/>
        </w:rPr>
        <w:t>。</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收入合计1,071.84万元，其中：财政拨款收入1,071.84万元，占100.0%；上级补助收入0.00万元，占0.0%；事业收入0.00万元，占0.0%；经营收入0.00万元，占0.0%；附属单位上缴收入0.00万元，占0.0%；其他收入0.00万元，占0.0%。</w:t>
      </w:r>
    </w:p>
    <w:p>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本单位2024年度本年支出合计1,071.84万元，其中：基本支出841.55万元，占78.5%；项目支出230.29万元，占21.5%；上缴上级支出0.00万元，占0.0%；经营支出0.00万元，占0.0%；对附属单位补助支出0.00万元，占0.0%。</w:t>
      </w:r>
    </w:p>
    <w:p>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本单位2024年度财政拨款收、支总计（含结转和结余）均为1,071.84万元。与2023年度相比，财政拨款收支各减少48.20万元，降低4.3%，主要原因是</w:t>
      </w:r>
      <w:r>
        <w:rPr>
          <w:rFonts w:hint="eastAsia" w:ascii="Times New Roman" w:eastAsia="仿宋_GB2312"/>
          <w:b w:val="0"/>
          <w:sz w:val="32"/>
          <w:szCs w:val="32"/>
          <w:lang w:eastAsia="zh-CN"/>
        </w:rPr>
        <w:t>本年人员经费调整、项目经费支出减少</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本单位2024年度财政拨款本年收入1,071.84万元,比上年减少48.20万元，降低4.3%，主要原因是</w:t>
      </w:r>
      <w:r>
        <w:rPr>
          <w:rFonts w:hint="eastAsia" w:ascii="Times New Roman" w:eastAsia="仿宋_GB2312"/>
          <w:b w:val="0"/>
          <w:sz w:val="32"/>
          <w:szCs w:val="32"/>
          <w:lang w:eastAsia="zh-CN"/>
        </w:rPr>
        <w:t>本年人员经费调整、项目经费支出减少</w:t>
      </w:r>
      <w:r>
        <w:rPr>
          <w:rFonts w:ascii="Times New Roman" w:eastAsia="仿宋_GB2312"/>
          <w:b w:val="0"/>
          <w:sz w:val="32"/>
          <w:szCs w:val="32"/>
        </w:rPr>
        <w:t>；本年支出1,071.84万元，比上年减少48.20万元，降低4.3%，主要原因是</w:t>
      </w:r>
      <w:r>
        <w:rPr>
          <w:rFonts w:hint="eastAsia" w:ascii="Times New Roman" w:eastAsia="仿宋_GB2312"/>
          <w:b w:val="0"/>
          <w:sz w:val="32"/>
          <w:szCs w:val="32"/>
          <w:lang w:eastAsia="zh-CN"/>
        </w:rPr>
        <w:t>本年减少公车运行和公务接待费用</w:t>
      </w:r>
      <w:r>
        <w:rPr>
          <w:rFonts w:ascii="Times New Roman" w:eastAsia="仿宋_GB2312"/>
          <w:b w:val="0"/>
          <w:sz w:val="32"/>
          <w:szCs w:val="32"/>
        </w:rPr>
        <w:t>。具体情况如下：</w:t>
      </w:r>
    </w:p>
    <w:p>
      <w:pPr>
        <w:widowControl/>
        <w:spacing w:before="0" w:beforeLines="0" w:beforeAutospacing="0" w:after="0" w:afterLines="0" w:afterAutospacing="0" w:line="360" w:lineRule="auto"/>
        <w:ind w:firstLine="640" w:firstLineChars="200"/>
        <w:jc w:val="left"/>
        <w:outlineLvl w:val="1"/>
        <w:rPr>
          <w:rFonts w:ascii="Times New Roman" w:eastAsia="仿宋_GB2312"/>
          <w:sz w:val="32"/>
          <w:szCs w:val="32"/>
        </w:rPr>
      </w:pPr>
      <w:r>
        <w:rPr>
          <w:rFonts w:ascii="Times New Roman" w:eastAsia="仿宋_GB2312"/>
          <w:b w:val="0"/>
          <w:sz w:val="32"/>
          <w:szCs w:val="32"/>
        </w:rPr>
        <w:t>1.一般公共预算财政拨款本年收入1,071.84万元,比上年减少48.20万元，降低4.3%，主要原因是</w:t>
      </w:r>
      <w:r>
        <w:rPr>
          <w:rFonts w:hint="eastAsia" w:ascii="Times New Roman" w:eastAsia="仿宋_GB2312"/>
          <w:b w:val="0"/>
          <w:sz w:val="32"/>
          <w:szCs w:val="32"/>
          <w:lang w:eastAsia="zh-CN"/>
        </w:rPr>
        <w:t>本年人员经费调整、项目经费支出减少</w:t>
      </w:r>
      <w:r>
        <w:rPr>
          <w:rFonts w:ascii="Times New Roman" w:eastAsia="仿宋_GB2312"/>
          <w:b w:val="0"/>
          <w:sz w:val="32"/>
          <w:szCs w:val="32"/>
        </w:rPr>
        <w:t>；本年支出1,071.84万元，比上年减少48.20万元，降低4.3%，主要原因是</w:t>
      </w:r>
      <w:r>
        <w:rPr>
          <w:rFonts w:hint="eastAsia" w:ascii="Times New Roman" w:eastAsia="仿宋_GB2312"/>
          <w:b w:val="0"/>
          <w:sz w:val="32"/>
          <w:szCs w:val="32"/>
          <w:lang w:eastAsia="zh-CN"/>
        </w:rPr>
        <w:t>本年减少公车运行和公务接待费用</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2.政府性基金预算财政拨款本年收入0.00万元，比上年增加0.00万元，增长0.00%</w:t>
      </w:r>
      <w:r>
        <w:rPr>
          <w:rFonts w:hint="eastAsia" w:ascii="Times New Roman" w:eastAsia="仿宋_GB2312"/>
          <w:b w:val="0"/>
          <w:sz w:val="32"/>
          <w:szCs w:val="32"/>
          <w:lang w:eastAsia="zh-CN"/>
        </w:rPr>
        <w:t>，无增减变化</w:t>
      </w:r>
      <w:r>
        <w:rPr>
          <w:rFonts w:ascii="Times New Roman" w:eastAsia="仿宋_GB2312"/>
          <w:b w:val="0"/>
          <w:sz w:val="32"/>
          <w:szCs w:val="32"/>
        </w:rPr>
        <w:t>；本年支出0.00万元，比上年增加0.00万元，增长0.00%</w:t>
      </w:r>
      <w:r>
        <w:rPr>
          <w:rFonts w:hint="eastAsia" w:ascii="Times New Roman" w:eastAsia="仿宋_GB2312"/>
          <w:b w:val="0"/>
          <w:sz w:val="32"/>
          <w:szCs w:val="32"/>
          <w:lang w:eastAsia="zh-CN"/>
        </w:rPr>
        <w:t>，无增减变化</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3.国有资本经营预算财政拨款本年收入0.00万元，比上年增加0.00万元，增长0.00%</w:t>
      </w:r>
      <w:r>
        <w:rPr>
          <w:rFonts w:hint="eastAsia" w:ascii="Times New Roman" w:eastAsia="仿宋_GB2312"/>
          <w:b w:val="0"/>
          <w:sz w:val="32"/>
          <w:szCs w:val="32"/>
          <w:lang w:eastAsia="zh-CN"/>
        </w:rPr>
        <w:t>，无增减变化</w:t>
      </w:r>
      <w:r>
        <w:rPr>
          <w:rFonts w:ascii="Times New Roman" w:eastAsia="仿宋_GB2312"/>
          <w:b w:val="0"/>
          <w:sz w:val="32"/>
          <w:szCs w:val="32"/>
        </w:rPr>
        <w:t>；本年支出0.00万元，比上年增加0.00万元，增长0.00%</w:t>
      </w:r>
      <w:r>
        <w:rPr>
          <w:rFonts w:hint="eastAsia" w:ascii="Times New Roman" w:eastAsia="仿宋_GB2312"/>
          <w:b w:val="0"/>
          <w:sz w:val="32"/>
          <w:szCs w:val="32"/>
          <w:lang w:eastAsia="zh-CN"/>
        </w:rPr>
        <w:t>，无增减变化</w:t>
      </w:r>
      <w:r>
        <w:rPr>
          <w:rFonts w:ascii="Times New Roman" w:eastAsia="仿宋_GB2312"/>
          <w:b w:val="0"/>
          <w:sz w:val="32"/>
          <w:szCs w:val="32"/>
        </w:rPr>
        <w:t>。</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本单位2024年度财政拨款本年收入1,071.84万元，完成年初预算的54.4%，比年初预算减少897.12万元，决算数小于预算数主要原因是</w:t>
      </w:r>
      <w:r>
        <w:rPr>
          <w:rFonts w:hint="eastAsia" w:ascii="Times New Roman" w:eastAsia="仿宋_GB2312"/>
          <w:b w:val="0"/>
          <w:sz w:val="32"/>
          <w:szCs w:val="32"/>
          <w:lang w:eastAsia="zh-CN"/>
        </w:rPr>
        <w:t>项目经费减少</w:t>
      </w:r>
      <w:r>
        <w:rPr>
          <w:rFonts w:ascii="Times New Roman" w:eastAsia="仿宋_GB2312"/>
          <w:b w:val="0"/>
          <w:sz w:val="32"/>
          <w:szCs w:val="32"/>
        </w:rPr>
        <w:t>；本年支出1,071.84万元，完成年初预算的54.4%，比年初预算减少897.12万元，决算数小于预算数主要原因是</w:t>
      </w:r>
      <w:r>
        <w:rPr>
          <w:rFonts w:hint="eastAsia" w:ascii="Times New Roman" w:eastAsia="仿宋_GB2312"/>
          <w:b w:val="0"/>
          <w:sz w:val="32"/>
          <w:szCs w:val="32"/>
          <w:lang w:eastAsia="zh-CN"/>
        </w:rPr>
        <w:t>减少项目经费支出和人员、公用支出</w:t>
      </w:r>
      <w:r>
        <w:rPr>
          <w:rFonts w:ascii="Times New Roman" w:eastAsia="仿宋_GB2312"/>
          <w:b w:val="0"/>
          <w:sz w:val="32"/>
          <w:szCs w:val="32"/>
        </w:rPr>
        <w:t>。具体情况如下：</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1.一般公共预算财政拨款本年收入完成年初预算的54.4%，比年初预算减少897.12万元，主要原因是</w:t>
      </w:r>
      <w:r>
        <w:rPr>
          <w:rFonts w:hint="eastAsia" w:ascii="Times New Roman" w:eastAsia="仿宋_GB2312"/>
          <w:b w:val="0"/>
          <w:sz w:val="32"/>
          <w:szCs w:val="32"/>
          <w:lang w:eastAsia="zh-CN"/>
        </w:rPr>
        <w:t>减少了项目经费</w:t>
      </w:r>
      <w:r>
        <w:rPr>
          <w:rFonts w:ascii="Times New Roman" w:eastAsia="仿宋_GB2312"/>
          <w:b w:val="0"/>
          <w:sz w:val="32"/>
          <w:szCs w:val="32"/>
        </w:rPr>
        <w:t>；支出完成年初预算的54.4%，比年初预算减少897.12万元，主要原因是</w:t>
      </w:r>
      <w:r>
        <w:rPr>
          <w:rFonts w:hint="eastAsia" w:ascii="Times New Roman" w:eastAsia="仿宋_GB2312"/>
          <w:b w:val="0"/>
          <w:sz w:val="32"/>
          <w:szCs w:val="32"/>
          <w:lang w:eastAsia="zh-CN"/>
        </w:rPr>
        <w:t>减少项目经费支出和人员、公用支出</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2.政府性基金预算财政拨款本年收入完成年初预算的0.0%，比年初预算增加0.00万元；支出完成年初预算的0.0%，比年初预算增加0.00万元。</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3.国有资本经营预算财政拨款本年收入完成年初预算的0.0%，比年初预算增加0.00万元；支出完成年初预算的0.0%，比年初预算增加0.00万元。</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2024年度财政拨款支出1,071.84万元，主要用于以下方面：</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一般公共服务（类）支出856.14万元，占79.9%，主要用于</w:t>
      </w:r>
      <w:r>
        <w:rPr>
          <w:rFonts w:hint="eastAsia" w:ascii="Times New Roman" w:eastAsia="仿宋_GB2312"/>
          <w:b w:val="0"/>
          <w:sz w:val="32"/>
          <w:szCs w:val="32"/>
          <w:lang w:eastAsia="zh-CN"/>
        </w:rPr>
        <w:t>日常公用、人员经费、项目</w:t>
      </w:r>
      <w:r>
        <w:rPr>
          <w:rFonts w:ascii="Times New Roman" w:eastAsia="仿宋_GB2312"/>
          <w:b w:val="0"/>
          <w:sz w:val="32"/>
          <w:szCs w:val="32"/>
        </w:rPr>
        <w:t>等支出；外交（类）支出0.00万元，占0.0%，主要用于等支出；国防（类）支出0.00万元，占0.0%，主要用于等支出；公共安全类（类）支出0.00万元，占0.0%，主要用于等支出；教育（类）支出0.00万元，占0.0%，主要用于等支出；科学技术（类）支出0.00万元，占0.0%，主要用于等支出；文化旅游体育与传媒（类）支出0.00万元，占0.0%，主要用于等支出；社会保障和就业（类）支出125.94万元，占1</w:t>
      </w:r>
      <w:r>
        <w:rPr>
          <w:rFonts w:ascii="Times New Roman" w:eastAsia="仿宋_GB2312"/>
          <w:b w:val="0"/>
          <w:sz w:val="32"/>
          <w:szCs w:val="32"/>
        </w:rPr>
        <w:t>1.7%，主要用于缴纳养老保险等支出；卫生健康（类）支出37.76万元，</w:t>
      </w:r>
      <w:r>
        <w:rPr>
          <w:rFonts w:ascii="Times New Roman" w:eastAsia="仿宋_GB2312"/>
          <w:b w:val="0"/>
          <w:sz w:val="32"/>
          <w:szCs w:val="32"/>
        </w:rPr>
        <w:t>占</w:t>
      </w:r>
      <w:r>
        <w:rPr>
          <w:rFonts w:ascii="Times New Roman" w:eastAsia="仿宋_GB2312"/>
          <w:b w:val="0"/>
          <w:sz w:val="32"/>
          <w:szCs w:val="32"/>
        </w:rPr>
        <w:t>3.5%，主要用于缴纳医疗保险支出；节能环保（类）支出0.00万元，占</w:t>
      </w:r>
      <w:r>
        <w:rPr>
          <w:rFonts w:ascii="Times New Roman" w:eastAsia="仿宋_GB2312"/>
          <w:b w:val="0"/>
          <w:sz w:val="32"/>
          <w:szCs w:val="32"/>
        </w:rPr>
        <w:t>0.0%，主要用于等支出；城乡社区（类）支出0.00万元，占0.0%，主要用于等支出；农林水（类）支出0.00万元，占0.0%，主要用于等支出；交通运输（类）支出0.00万元，占0.0%，主要用于等支出；资源勘探信息等（类）支出0.00万元，占0.0%，主要用于等支出；商业服务业等（类）支出0.00万元，占0.0%，主要用于等支出；金融（类）支出0.00万元，占0.0%，主要用于等支出；援助其他地区（类）支出0.00万元，占0.0%，主要用于等支出；自然资源海洋气象等（类）支出0.00万元，占0.0%，主要用于等支出；住房保障（类）支出51.99万元，</w:t>
      </w:r>
      <w:r>
        <w:rPr>
          <w:rFonts w:ascii="Times New Roman" w:eastAsia="仿宋_GB2312"/>
          <w:b w:val="0"/>
          <w:sz w:val="32"/>
          <w:szCs w:val="32"/>
        </w:rPr>
        <w:t>占4.9%，主要用于缴纳住房公积金支出；粮油物资储备（类）支出0.00万元，占0.0%，</w:t>
      </w:r>
      <w:r>
        <w:rPr>
          <w:rFonts w:ascii="Times New Roman" w:eastAsia="仿宋_GB2312"/>
          <w:b w:val="0"/>
          <w:sz w:val="32"/>
          <w:szCs w:val="32"/>
        </w:rPr>
        <w:t>主要用于等支出；国有资本经营预算支出0.00万元，占0.0%，主要用于等支出；害防治及应急管理（类）支出0.00万元，占0.0%，主要用于等支出；其他（类）支出0.00万元，占0.0%，主要用于等支出；债务还本（类）支出0.00万元，占0.0%，主要用于等支出；债务付息（类）支出0.00万元，占0.0%，主要用于等支出；抗疫特别国债安排的支出0.00万元，占0.0%，主要用于等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政府性基金预算财政拨款支出：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0.00万元，占0.0%，主要用于等支出；外交（类）支出0.00万元，占0.0%，主要用于等支出；国防（类）支出0.00万元，占0.0%，主要用于等支出；公共安全类（类）支出0.00万元，占0.0%，主要用于等支出；教育（类）支出0.00万元，占0.0%，主要用于等支出；科学技术（类）支出0.00万元，占0.0%，主要用于等支出；文化旅游体育与传媒（类）支出0.00万元，占0.0%，主要用于等支出；社会保障和就业（类）支出0.00万元，占0.0%，主要用于等支出；卫生健康（类）支出0.00万元，占0.0%，主要用于等支出；节能环保（类）支出0.00万元，占0.0%，主要用于等支出；城乡社区（类）支出0.00万元，占0.0%，主要用于等支出；农林水（类）支出0.00万元，占0.0%，主要用于等支出；交通运输（类）支出0.00万元，占0.0%，主要用于等支出；资源勘探信息等（类）支出0.00万元，占0.0%，主要用于等支出；商业服务业等（类）支出0.00万元，占0.0%，主要用于等支出；金融（类）支出0.00万元，占0.0%，主要用于等支出；援助其他地区（类）支出0.00万元，占0.0%，主要用于等支出；自然资源海洋气象等（类）支出0.00万元，占0.0%，主要用于等支出；住房保障（类）支出0.00万元，占0.0%，主要用于等支出；粮油物资储备（类）支出0.00万元，占0.0%，主要用于等支出；国有资本经营预算支出0.00万元，占0.0%，主要用于等支出；害防治及应急管理（类）支出0.00万元，占0.0%，主要用于等支出；其他（类）支出0.00万元，占0.0%，主要用于等支出；债务还本（类）支出0.00万元，占0.0%，主要用于等支出；债务付息（类）支出0.00万元，占0.0%，主要用于等支出；抗疫特别国债安排的支出0.00万元，占0.00%，主要用于等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国有资本经营预算财政拨款支出：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0.00万元，占0.0%，主要用于等支出；外交（类）支出0.00万元，占0.0%，主要用于等支出；国防（类）支出0.00万元，占0.0%，主要用于等支出；公共安全（类）支出0.00万元，占0.0%，主要用于等支出；教育（类）支出0.00万元，占0.0%，主要用于等支出；科学技术（类）支出0.00万元，占0.0%，主要用于等支出；文化旅游体育与传媒（类）支出0.00万元，占0.0%，主要用于等支出；社会保障和就业（类）支出0.00万元，占0.0%，主要用于等支出；卫生健康（类）支出0.00万元，占0.0%，主要用于等支出；节能环保（类）支出0.00万元，占0.0%，主要用于等支出；城乡社区（类）支出0.00万元，占0.0%，主要用于等支出；农林水（类）支出0.00万元，占0.0%，主要用于等支出；交通运输（类）支出0.00万元，占0.0%，主要用于等支出；资源勘探信息等（类）支出0.00万元，占0.0%，主要用于等支出；商业服务业等（类）支出0.00万元，占0.0%，主要用于等支出；金融（类）支出0.00万元，占0.0%，主要用于等支出；援助其他地区（类）支出0.00万元，占0.0%，主要用于等支出；自然资源海洋气象等（类）支出0.00万元，占0.0%，主要用于等支出；住房保障（类）支出0.00万元，占0.0%，主要用于等支出；粮油物资储备（类）支出0.00万元，占0.0%，主要用于等支出；国有资本经营预算支出0.00万元，占0.0%，主要用于等支出；害防治及应急管理（类）支出0.00万元，占0.0%，主要用于等支出；其他（类）支出0.00万元，占0.0%，主要用于等支出；债务还本（类）支出0.00万元，占0.0%，主要用于等支出；债务付息（类）支出0.00万元，占0.0%，主要用于等支出；抗疫特别国债安排的支出0.00万元，占0.0%，主要用于等支出。</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2024年度财政拨款基本支出841.55万元，其中：</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人员经费749.40万元，主要包括基本工资、津贴补贴、奖金、伙食补助费、绩效工资、机关事业部门基本养老保险缴费、职业年金缴费、职工基本医疗保险缴费、公务员医疗补助缴费、住房公积金、医疗费、其他社会保障缴费、其他工资福利支出、离休费、退休费、抚恤金、生活补助、医疗费补助、奖励金、其他对个人和家庭的补助支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公用经费92.15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五、财政拨款“三公”经费支出决算情况说明</w:t>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本单位2024年度“三公”经费财政拨款支出预算为90.38万元，支出决算为90.24万元，完成预算的99.8%，较预算减少0.14万元，降低0.2%，主要原因是</w:t>
      </w:r>
      <w:r>
        <w:rPr>
          <w:rStyle w:val="13"/>
          <w:rFonts w:hint="eastAsia" w:ascii="仿宋_GB2312" w:hAnsi="仿宋_GB2312" w:eastAsia="仿宋_GB2312" w:cs="仿宋_GB2312"/>
          <w:b w:val="0"/>
          <w:bCs w:val="0"/>
          <w:sz w:val="33"/>
          <w:szCs w:val="33"/>
          <w:highlight w:val="none"/>
          <w:rtl w:val="0"/>
          <w:lang w:val="en-US" w:eastAsia="zh-CN"/>
        </w:rPr>
        <w:t>严格控制公务用车的使用，严格控制接待标准及范围，严格控制出国经费开支</w:t>
      </w:r>
      <w:r>
        <w:rPr>
          <w:rFonts w:ascii="Times New Roman" w:eastAsia="仿宋_GB2312"/>
          <w:b w:val="0"/>
          <w:sz w:val="32"/>
          <w:szCs w:val="32"/>
        </w:rPr>
        <w:t>；较2023年度决算减少10.82万元，降低10.7%，主要原因是</w:t>
      </w:r>
      <w:r>
        <w:rPr>
          <w:rStyle w:val="13"/>
          <w:rFonts w:hint="eastAsia" w:ascii="仿宋_GB2312" w:hAnsi="仿宋_GB2312" w:eastAsia="仿宋_GB2312" w:cs="仿宋_GB2312"/>
          <w:b w:val="0"/>
          <w:bCs w:val="0"/>
          <w:sz w:val="33"/>
          <w:szCs w:val="33"/>
          <w:highlight w:val="none"/>
          <w:rtl w:val="0"/>
          <w:lang w:val="en-US" w:eastAsia="zh-CN"/>
        </w:rPr>
        <w:t>严格控制公务用车的使用，严格控制接待标准及范围，严格控制出国经费开支</w:t>
      </w:r>
      <w:r>
        <w:rPr>
          <w:rFonts w:ascii="Times New Roman" w:eastAsia="仿宋_GB2312"/>
          <w:b w:val="0"/>
          <w:sz w:val="32"/>
          <w:szCs w:val="32"/>
        </w:rPr>
        <w:t>。</w:t>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pPr>
        <w:widowControl/>
        <w:spacing w:before="0" w:beforeLines="0" w:beforeAutospacing="0" w:after="0" w:afterLines="0" w:afterAutospacing="0" w:line="360" w:lineRule="auto"/>
        <w:ind w:firstLine="643" w:firstLineChars="200"/>
        <w:jc w:val="left"/>
        <w:rPr>
          <w:rFonts w:hint="eastAsia" w:ascii="Times New Roman" w:eastAsia="仿宋_GB2312"/>
          <w:b w:val="0"/>
          <w:sz w:val="32"/>
          <w:szCs w:val="32"/>
          <w:lang w:eastAsia="zh-CN"/>
        </w:rPr>
      </w:pPr>
      <w:r>
        <w:rPr>
          <w:rFonts w:ascii="Times New Roman" w:eastAsia="楷体_GB2312"/>
          <w:b/>
          <w:sz w:val="32"/>
          <w:szCs w:val="32"/>
        </w:rPr>
        <w:t>1.因公出国（境）费支出情况。</w:t>
      </w:r>
      <w:r>
        <w:rPr>
          <w:rFonts w:ascii="Times New Roman" w:eastAsia="仿宋_GB2312"/>
          <w:b w:val="0"/>
          <w:sz w:val="32"/>
          <w:szCs w:val="32"/>
        </w:rPr>
        <w:t>本单位2024年度因公出国（境）费支出预算为74.41万元,支出决算74.41万元。完成预算的100.0%。因公出国（境）费支出较预算增加0.00万元，增长0.0%；较上年减少4.93万元，降低6.2%,主要原因是</w:t>
      </w:r>
      <w:r>
        <w:rPr>
          <w:rStyle w:val="13"/>
          <w:rFonts w:hint="eastAsia" w:ascii="仿宋_GB2312" w:hAnsi="仿宋_GB2312" w:eastAsia="仿宋_GB2312" w:cs="仿宋_GB2312"/>
          <w:b w:val="0"/>
          <w:bCs w:val="0"/>
          <w:sz w:val="33"/>
          <w:szCs w:val="33"/>
          <w:highlight w:val="none"/>
          <w:rtl w:val="0"/>
          <w:lang w:val="en-US" w:eastAsia="zh-CN"/>
        </w:rPr>
        <w:t>严格控制出国经费开支</w:t>
      </w:r>
      <w:r>
        <w:rPr>
          <w:rFonts w:ascii="Times New Roman" w:eastAsia="仿宋_GB2312"/>
          <w:b w:val="0"/>
          <w:sz w:val="32"/>
          <w:szCs w:val="32"/>
        </w:rPr>
        <w:t>。因公出国（境）团组7个、共15人、参加其他单位组织的因公出国（境）团组</w:t>
      </w:r>
      <w:r>
        <w:rPr>
          <w:rFonts w:hint="eastAsia" w:ascii="Times New Roman" w:eastAsia="仿宋_GB2312"/>
          <w:b w:val="0"/>
          <w:sz w:val="32"/>
          <w:szCs w:val="32"/>
          <w:lang w:val="en-US" w:eastAsia="zh-CN"/>
        </w:rPr>
        <w:t>0</w:t>
      </w:r>
      <w:r>
        <w:rPr>
          <w:rFonts w:ascii="Times New Roman" w:eastAsia="仿宋_GB2312"/>
          <w:b w:val="0"/>
          <w:sz w:val="32"/>
          <w:szCs w:val="32"/>
        </w:rPr>
        <w:t>个、共</w:t>
      </w:r>
      <w:r>
        <w:rPr>
          <w:rFonts w:hint="eastAsia" w:ascii="Times New Roman" w:eastAsia="仿宋_GB2312"/>
          <w:b w:val="0"/>
          <w:sz w:val="32"/>
          <w:szCs w:val="32"/>
          <w:lang w:val="en-US" w:eastAsia="zh-CN"/>
        </w:rPr>
        <w:t>0</w:t>
      </w:r>
      <w:r>
        <w:rPr>
          <w:rFonts w:ascii="Times New Roman" w:eastAsia="仿宋_GB2312"/>
          <w:b w:val="0"/>
          <w:sz w:val="32"/>
          <w:szCs w:val="32"/>
        </w:rPr>
        <w:t>人</w:t>
      </w:r>
      <w:r>
        <w:rPr>
          <w:rFonts w:hint="eastAsia" w:ascii="Times New Roman" w:eastAsia="仿宋_GB2312"/>
          <w:b w:val="0"/>
          <w:sz w:val="32"/>
          <w:szCs w:val="32"/>
          <w:lang w:eastAsia="zh-CN"/>
        </w:rPr>
        <w:t>，</w:t>
      </w:r>
      <w:r>
        <w:rPr>
          <w:rFonts w:ascii="Times New Roman" w:eastAsia="仿宋_GB2312"/>
          <w:b w:val="0"/>
          <w:sz w:val="32"/>
          <w:szCs w:val="32"/>
        </w:rPr>
        <w:t>无本部门组织的出国（境）团组。</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2.公务用车购置及运行维护费支出情况。</w:t>
      </w:r>
      <w:r>
        <w:rPr>
          <w:rFonts w:ascii="Times New Roman" w:eastAsia="仿宋_GB2312"/>
          <w:b w:val="0"/>
          <w:sz w:val="32"/>
          <w:szCs w:val="32"/>
        </w:rPr>
        <w:t>本单位2024年度公务用车购置及运行维护费预算为4.00万元，支出决算3.86万元，完成预算的96.5%,较预算减少0.14万元，降低3.5%,主要原因是</w:t>
      </w:r>
      <w:r>
        <w:rPr>
          <w:rStyle w:val="13"/>
          <w:rFonts w:hint="eastAsia" w:ascii="仿宋_GB2312" w:hAnsi="仿宋_GB2312" w:eastAsia="仿宋_GB2312" w:cs="仿宋_GB2312"/>
          <w:b w:val="0"/>
          <w:bCs w:val="0"/>
          <w:sz w:val="33"/>
          <w:szCs w:val="33"/>
          <w:highlight w:val="none"/>
          <w:rtl w:val="0"/>
          <w:lang w:val="en-US" w:eastAsia="zh-CN"/>
        </w:rPr>
        <w:t>严格控制公务用车的使用</w:t>
      </w:r>
      <w:r>
        <w:rPr>
          <w:rFonts w:ascii="Times New Roman" w:eastAsia="仿宋_GB2312"/>
          <w:b w:val="0"/>
          <w:sz w:val="32"/>
          <w:szCs w:val="32"/>
        </w:rPr>
        <w:t>；较上年减少2.90万元，降低42.9%,主要原因是</w:t>
      </w:r>
      <w:r>
        <w:rPr>
          <w:rStyle w:val="13"/>
          <w:rFonts w:hint="eastAsia" w:ascii="仿宋_GB2312" w:hAnsi="仿宋_GB2312" w:eastAsia="仿宋_GB2312" w:cs="仿宋_GB2312"/>
          <w:b w:val="0"/>
          <w:bCs w:val="0"/>
          <w:sz w:val="33"/>
          <w:szCs w:val="33"/>
          <w:highlight w:val="none"/>
          <w:rtl w:val="0"/>
          <w:lang w:val="en-US" w:eastAsia="zh-CN"/>
        </w:rPr>
        <w:t>严格控制公务用车的使用</w:t>
      </w:r>
      <w:r>
        <w:rPr>
          <w:rFonts w:ascii="Times New Roman" w:eastAsia="仿宋_GB2312"/>
          <w:b w:val="0"/>
          <w:sz w:val="32"/>
          <w:szCs w:val="32"/>
        </w:rPr>
        <w:t>。其中：</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公务用车购置费支出0.00万元：</w:t>
      </w:r>
      <w:r>
        <w:rPr>
          <w:rFonts w:ascii="Times New Roman" w:eastAsia="仿宋_GB2312"/>
          <w:b w:val="0"/>
          <w:sz w:val="32"/>
          <w:szCs w:val="32"/>
        </w:rPr>
        <w:t>本单位2024年度公务用车购置量0辆，发生“公务用车购置”经费支出0.00万元。公务用车购置费支出较预算增加0.00万元，增长0.0%；较上年增加0.00万元，增长0.00%。</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公务用车运行维护费支出3.86万元：</w:t>
      </w:r>
      <w:r>
        <w:rPr>
          <w:rFonts w:ascii="Times New Roman" w:eastAsia="仿宋_GB2312"/>
          <w:b w:val="0"/>
          <w:sz w:val="32"/>
          <w:szCs w:val="32"/>
        </w:rPr>
        <w:t>本单位2024年度单位公务用车保有量2辆，发生运行维护费支出3.86万元。公车运行维护费支出较预算减少0.14万元，降低3.5%,主要原因是</w:t>
      </w:r>
      <w:r>
        <w:rPr>
          <w:rStyle w:val="13"/>
          <w:rFonts w:hint="eastAsia" w:ascii="仿宋_GB2312" w:hAnsi="仿宋_GB2312" w:eastAsia="仿宋_GB2312" w:cs="仿宋_GB2312"/>
          <w:b w:val="0"/>
          <w:bCs w:val="0"/>
          <w:sz w:val="33"/>
          <w:szCs w:val="33"/>
          <w:highlight w:val="none"/>
          <w:rtl w:val="0"/>
          <w:lang w:val="en-US" w:eastAsia="zh-CN"/>
        </w:rPr>
        <w:t>严格控制公务用车的使用</w:t>
      </w:r>
      <w:r>
        <w:rPr>
          <w:rFonts w:ascii="Times New Roman" w:eastAsia="仿宋_GB2312"/>
          <w:b w:val="0"/>
          <w:sz w:val="32"/>
          <w:szCs w:val="32"/>
        </w:rPr>
        <w:t>；较上年减少2.90万元，降低42.9%，主要原因是</w:t>
      </w:r>
      <w:r>
        <w:rPr>
          <w:rStyle w:val="13"/>
          <w:rFonts w:hint="eastAsia" w:ascii="仿宋_GB2312" w:hAnsi="仿宋_GB2312" w:eastAsia="仿宋_GB2312" w:cs="仿宋_GB2312"/>
          <w:b w:val="0"/>
          <w:bCs w:val="0"/>
          <w:sz w:val="33"/>
          <w:szCs w:val="33"/>
          <w:highlight w:val="none"/>
          <w:rtl w:val="0"/>
          <w:lang w:val="en-US" w:eastAsia="zh-CN"/>
        </w:rPr>
        <w:t>严格控制公务用车的使用</w:t>
      </w:r>
      <w:r>
        <w:rPr>
          <w:rFonts w:ascii="Times New Roman" w:eastAsia="仿宋_GB2312"/>
          <w:b w:val="0"/>
          <w:sz w:val="32"/>
          <w:szCs w:val="32"/>
        </w:rPr>
        <w:t>。</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b w:val="0"/>
          <w:sz w:val="32"/>
          <w:szCs w:val="32"/>
        </w:rPr>
        <w:t>本单位2024年度公务接待费支出预算为11.97万元，支出决算11.97万元，完成预算的100.0%。公务接待费支出较预算增加0.00万元，增长0.0%；较上年度减少3.00万元，降低20.0%,主要原因是</w:t>
      </w:r>
      <w:r>
        <w:rPr>
          <w:rStyle w:val="13"/>
          <w:rFonts w:hint="eastAsia" w:ascii="仿宋_GB2312" w:hAnsi="仿宋_GB2312" w:eastAsia="仿宋_GB2312" w:cs="仿宋_GB2312"/>
          <w:b w:val="0"/>
          <w:bCs w:val="0"/>
          <w:sz w:val="33"/>
          <w:szCs w:val="33"/>
          <w:highlight w:val="none"/>
          <w:rtl w:val="0"/>
          <w:lang w:val="en-US" w:eastAsia="zh-CN"/>
        </w:rPr>
        <w:t>严格控制接待标准及范围</w:t>
      </w:r>
      <w:r>
        <w:rPr>
          <w:rFonts w:ascii="Times New Roman" w:eastAsia="仿宋_GB2312"/>
          <w:b w:val="0"/>
          <w:sz w:val="32"/>
          <w:szCs w:val="32"/>
        </w:rPr>
        <w:t>。本年共发生公务接待24批次、404人次。</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pPr>
        <w:pStyle w:val="10"/>
        <w:widowControl/>
        <w:spacing w:beforeAutospacing="0" w:afterAutospacing="0"/>
        <w:ind w:firstLine="640" w:firstLineChars="200"/>
        <w:rPr>
          <w:rFonts w:ascii="Times New Roman" w:eastAsia="仿宋_GB2312"/>
          <w:b w:val="0"/>
          <w:sz w:val="32"/>
          <w:szCs w:val="32"/>
        </w:rPr>
      </w:pPr>
      <w:r>
        <w:rPr>
          <w:rFonts w:ascii="Times New Roman" w:eastAsia="仿宋_GB2312"/>
          <w:b w:val="0"/>
          <w:sz w:val="32"/>
          <w:szCs w:val="32"/>
        </w:rPr>
        <w:t>本单位2024年度机关运行经费支出92.15万元，较2023年度增加9.26万元，增长11.2%。主要原因是</w:t>
      </w:r>
      <w:r>
        <w:rPr>
          <w:rFonts w:hint="eastAsia" w:ascii="Times New Roman" w:eastAsia="仿宋_GB2312"/>
          <w:b w:val="0"/>
          <w:sz w:val="32"/>
          <w:szCs w:val="32"/>
          <w:lang w:val="zh-CN"/>
        </w:rPr>
        <w:t>日常活动增加，</w:t>
      </w:r>
      <w:r>
        <w:rPr>
          <w:rFonts w:hint="eastAsia" w:ascii="Times New Roman" w:eastAsia="仿宋_GB2312"/>
          <w:b w:val="0"/>
          <w:sz w:val="32"/>
          <w:szCs w:val="32"/>
          <w:rtl w:val="0"/>
          <w:lang w:val="en-US" w:eastAsia="zh-CN"/>
        </w:rPr>
        <w:t>增加了机关运行成本。</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政府采购支出总额10.70万元，从采购类型来看，政府采购货物支出10.70万元、政府采购工程支出0.00万元、政府采购服务支出0.00万元。授予中小企业合同金额5.21万元，占政府采购支出总额的48.7%，其中授予小微企业合同金额3.27万元，占政府采购支出总额的30.6%。</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截至2024年12月31日，本单位共有车辆2辆，比上年增加0辆。其中，副部（省）级及以上领导用车0辆，主要负责人用车0辆，机要通信用车1辆，应急保障用车1辆，执法执勤用车0辆，特种专业技术用车0辆，离退休干部用车0辆，其他用车0辆。单位价值100万元（含）以上设备（不含车辆）0台（套）。</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九、关于2024年度绩效评价情况的说明</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根据预算绩效管理要求，本单位组织对2024年度本级预算项目支出全面开展绩效自评，共涉及资金</w:t>
      </w:r>
      <w:r>
        <w:rPr>
          <w:rFonts w:hint="eastAsia" w:ascii="Times New Roman" w:eastAsia="仿宋_GB2312"/>
          <w:b w:val="0"/>
          <w:sz w:val="32"/>
          <w:szCs w:val="32"/>
          <w:lang w:val="en-US" w:eastAsia="zh-CN"/>
        </w:rPr>
        <w:t>230.29</w:t>
      </w:r>
      <w:r>
        <w:rPr>
          <w:rFonts w:ascii="Times New Roman" w:eastAsia="仿宋_GB2312"/>
          <w:b w:val="0"/>
          <w:sz w:val="32"/>
          <w:szCs w:val="32"/>
        </w:rPr>
        <w:t>万元（决算金额）。其中，一般公共预算项目</w:t>
      </w:r>
      <w:r>
        <w:rPr>
          <w:rFonts w:hint="eastAsia" w:ascii="Times New Roman" w:eastAsia="仿宋_GB2312"/>
          <w:b w:val="0"/>
          <w:sz w:val="32"/>
          <w:szCs w:val="32"/>
          <w:lang w:val="en-US" w:eastAsia="zh-CN"/>
        </w:rPr>
        <w:t>16</w:t>
      </w:r>
      <w:r>
        <w:rPr>
          <w:rFonts w:ascii="Times New Roman" w:eastAsia="仿宋_GB2312"/>
          <w:b w:val="0"/>
          <w:sz w:val="32"/>
          <w:szCs w:val="32"/>
        </w:rPr>
        <w:t>个，涉及资金</w:t>
      </w:r>
      <w:r>
        <w:rPr>
          <w:rFonts w:hint="eastAsia" w:ascii="Times New Roman" w:eastAsia="仿宋_GB2312"/>
          <w:b w:val="0"/>
          <w:sz w:val="32"/>
          <w:szCs w:val="32"/>
          <w:lang w:val="en-US" w:eastAsia="zh-CN"/>
        </w:rPr>
        <w:t>230.29</w:t>
      </w:r>
      <w:r>
        <w:rPr>
          <w:rFonts w:ascii="Times New Roman" w:eastAsia="仿宋_GB2312"/>
          <w:b w:val="0"/>
          <w:sz w:val="32"/>
          <w:szCs w:val="32"/>
        </w:rPr>
        <w:t>万元，占一般公共预算项目支出总额的</w:t>
      </w:r>
      <w:r>
        <w:rPr>
          <w:rFonts w:hint="eastAsia" w:ascii="Times New Roman" w:eastAsia="仿宋_GB2312"/>
          <w:b w:val="0"/>
          <w:sz w:val="32"/>
          <w:szCs w:val="32"/>
          <w:lang w:val="en-US" w:eastAsia="zh-CN"/>
        </w:rPr>
        <w:t>100</w:t>
      </w:r>
      <w:r>
        <w:rPr>
          <w:rFonts w:ascii="Times New Roman" w:eastAsia="仿宋_GB2312"/>
          <w:b w:val="0"/>
          <w:sz w:val="32"/>
          <w:szCs w:val="32"/>
        </w:rPr>
        <w:t>%；政府性基金预算项目</w:t>
      </w:r>
      <w:r>
        <w:rPr>
          <w:rFonts w:hint="eastAsia" w:ascii="Times New Roman" w:eastAsia="仿宋_GB2312"/>
          <w:b w:val="0"/>
          <w:sz w:val="32"/>
          <w:szCs w:val="32"/>
          <w:lang w:val="en-US" w:eastAsia="zh-CN"/>
        </w:rPr>
        <w:t>0</w:t>
      </w:r>
      <w:r>
        <w:rPr>
          <w:rFonts w:ascii="Times New Roman" w:eastAsia="仿宋_GB2312"/>
          <w:b w:val="0"/>
          <w:sz w:val="32"/>
          <w:szCs w:val="32"/>
        </w:rPr>
        <w:t>个，涉及资金</w:t>
      </w:r>
      <w:r>
        <w:rPr>
          <w:rFonts w:hint="eastAsia" w:ascii="Times New Roman" w:eastAsia="仿宋_GB2312"/>
          <w:b w:val="0"/>
          <w:sz w:val="32"/>
          <w:szCs w:val="32"/>
          <w:lang w:val="en-US" w:eastAsia="zh-CN"/>
        </w:rPr>
        <w:t>0</w:t>
      </w:r>
      <w:r>
        <w:rPr>
          <w:rFonts w:ascii="Times New Roman" w:eastAsia="仿宋_GB2312"/>
          <w:b w:val="0"/>
          <w:sz w:val="32"/>
          <w:szCs w:val="32"/>
        </w:rPr>
        <w:t>万元，占政府性基金预算项目支出总额的</w:t>
      </w:r>
      <w:r>
        <w:rPr>
          <w:rFonts w:hint="eastAsia" w:ascii="Times New Roman" w:eastAsia="仿宋_GB2312"/>
          <w:b w:val="0"/>
          <w:sz w:val="32"/>
          <w:szCs w:val="32"/>
          <w:lang w:val="en-US" w:eastAsia="zh-CN"/>
        </w:rPr>
        <w:t>0</w:t>
      </w:r>
      <w:r>
        <w:rPr>
          <w:rFonts w:ascii="Times New Roman" w:eastAsia="仿宋_GB2312"/>
          <w:b w:val="0"/>
          <w:sz w:val="32"/>
          <w:szCs w:val="32"/>
        </w:rPr>
        <w:t>%；国有资本经营预算项目</w:t>
      </w:r>
      <w:r>
        <w:rPr>
          <w:rFonts w:hint="eastAsia" w:ascii="Times New Roman" w:eastAsia="仿宋_GB2312"/>
          <w:b w:val="0"/>
          <w:sz w:val="32"/>
          <w:szCs w:val="32"/>
          <w:lang w:val="en-US" w:eastAsia="zh-CN"/>
        </w:rPr>
        <w:t>0</w:t>
      </w:r>
      <w:r>
        <w:rPr>
          <w:rFonts w:ascii="Times New Roman" w:eastAsia="仿宋_GB2312"/>
          <w:b w:val="0"/>
          <w:sz w:val="32"/>
          <w:szCs w:val="32"/>
        </w:rPr>
        <w:t>个，涉及资金</w:t>
      </w:r>
      <w:r>
        <w:rPr>
          <w:rFonts w:hint="eastAsia" w:ascii="Times New Roman" w:eastAsia="仿宋_GB2312"/>
          <w:b w:val="0"/>
          <w:sz w:val="32"/>
          <w:szCs w:val="32"/>
          <w:lang w:val="en-US" w:eastAsia="zh-CN"/>
        </w:rPr>
        <w:t>0</w:t>
      </w:r>
      <w:r>
        <w:rPr>
          <w:rFonts w:ascii="Times New Roman" w:eastAsia="仿宋_GB2312"/>
          <w:b w:val="0"/>
          <w:sz w:val="32"/>
          <w:szCs w:val="32"/>
        </w:rPr>
        <w:t>万元，占国有资本经营预算项目支出总额的</w:t>
      </w:r>
      <w:r>
        <w:rPr>
          <w:rFonts w:hint="eastAsia" w:ascii="Times New Roman" w:eastAsia="仿宋_GB2312"/>
          <w:b w:val="0"/>
          <w:sz w:val="32"/>
          <w:szCs w:val="32"/>
          <w:lang w:val="en-US" w:eastAsia="zh-CN"/>
        </w:rPr>
        <w:t>0</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组织对</w:t>
      </w:r>
      <w:r>
        <w:rPr>
          <w:rFonts w:hint="eastAsia" w:ascii="Times New Roman" w:eastAsia="仿宋_GB2312"/>
          <w:b w:val="0"/>
          <w:sz w:val="32"/>
          <w:szCs w:val="32"/>
          <w:lang w:eastAsia="zh-CN"/>
        </w:rPr>
        <w:t>业务咨询委托</w:t>
      </w:r>
      <w:r>
        <w:rPr>
          <w:rFonts w:ascii="Times New Roman" w:eastAsia="仿宋_GB2312"/>
          <w:b w:val="0"/>
          <w:sz w:val="32"/>
          <w:szCs w:val="32"/>
        </w:rPr>
        <w:t>等</w:t>
      </w:r>
      <w:r>
        <w:rPr>
          <w:rFonts w:hint="eastAsia" w:ascii="Times New Roman" w:eastAsia="仿宋_GB2312"/>
          <w:b w:val="0"/>
          <w:sz w:val="32"/>
          <w:szCs w:val="32"/>
          <w:lang w:val="en-US" w:eastAsia="zh-CN"/>
        </w:rPr>
        <w:t>1</w:t>
      </w:r>
      <w:r>
        <w:rPr>
          <w:rFonts w:ascii="Times New Roman" w:eastAsia="仿宋_GB2312"/>
          <w:b w:val="0"/>
          <w:sz w:val="32"/>
          <w:szCs w:val="32"/>
        </w:rPr>
        <w:t>个项目开展了部门重点评价，涉及一般公共预算支出</w:t>
      </w:r>
      <w:r>
        <w:rPr>
          <w:rFonts w:hint="eastAsia" w:ascii="Times New Roman" w:eastAsia="仿宋_GB2312"/>
          <w:b w:val="0"/>
          <w:sz w:val="32"/>
          <w:szCs w:val="32"/>
          <w:lang w:val="en-US" w:eastAsia="zh-CN"/>
        </w:rPr>
        <w:t>14.83</w:t>
      </w:r>
      <w:r>
        <w:rPr>
          <w:rFonts w:ascii="Times New Roman" w:eastAsia="仿宋_GB2312"/>
          <w:b w:val="0"/>
          <w:sz w:val="32"/>
          <w:szCs w:val="32"/>
        </w:rPr>
        <w:t>万元，政府性基金预算支出</w:t>
      </w:r>
      <w:r>
        <w:rPr>
          <w:rFonts w:hint="eastAsia" w:ascii="Times New Roman" w:eastAsia="仿宋_GB2312"/>
          <w:b w:val="0"/>
          <w:sz w:val="32"/>
          <w:szCs w:val="32"/>
          <w:lang w:val="en-US" w:eastAsia="zh-CN"/>
        </w:rPr>
        <w:t>0</w:t>
      </w:r>
      <w:r>
        <w:rPr>
          <w:rFonts w:ascii="Times New Roman" w:eastAsia="仿宋_GB2312"/>
          <w:b w:val="0"/>
          <w:sz w:val="32"/>
          <w:szCs w:val="32"/>
        </w:rPr>
        <w:t>万元，国有资本经营预算支出</w:t>
      </w:r>
      <w:r>
        <w:rPr>
          <w:rFonts w:hint="eastAsia" w:ascii="Times New Roman" w:eastAsia="仿宋_GB2312"/>
          <w:b w:val="0"/>
          <w:sz w:val="32"/>
          <w:szCs w:val="32"/>
          <w:lang w:val="en-US" w:eastAsia="zh-CN"/>
        </w:rPr>
        <w:t>0</w:t>
      </w:r>
      <w:r>
        <w:rPr>
          <w:rFonts w:ascii="Times New Roman" w:eastAsia="仿宋_GB2312"/>
          <w:b w:val="0"/>
          <w:sz w:val="32"/>
          <w:szCs w:val="32"/>
        </w:rPr>
        <w:t>万元。</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（二）部门决算中项目绩效自评结果</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本单位在今年部门决算公开中反映</w:t>
      </w:r>
      <w:r>
        <w:rPr>
          <w:rFonts w:hint="eastAsia" w:ascii="Times New Roman" w:eastAsia="仿宋_GB2312"/>
          <w:b w:val="0"/>
          <w:sz w:val="32"/>
          <w:szCs w:val="32"/>
          <w:lang w:eastAsia="zh-CN"/>
        </w:rPr>
        <w:t>业务咨询委托、办公设备购置等</w:t>
      </w:r>
      <w:r>
        <w:rPr>
          <w:rFonts w:hint="eastAsia" w:ascii="Times New Roman" w:eastAsia="仿宋_GB2312"/>
          <w:b w:val="0"/>
          <w:sz w:val="32"/>
          <w:szCs w:val="32"/>
          <w:lang w:val="en-US" w:eastAsia="zh-CN"/>
        </w:rPr>
        <w:t>10</w:t>
      </w:r>
      <w:r>
        <w:rPr>
          <w:rFonts w:ascii="Times New Roman" w:eastAsia="仿宋_GB2312"/>
          <w:b w:val="0"/>
          <w:sz w:val="32"/>
          <w:szCs w:val="32"/>
        </w:rPr>
        <w:t>个项目绩效自评结果。</w:t>
      </w:r>
    </w:p>
    <w:p>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eastAsia="zh-CN"/>
        </w:rPr>
      </w:pPr>
      <w:r>
        <w:rPr>
          <w:rFonts w:hint="eastAsia" w:ascii="Times New Roman" w:eastAsia="仿宋_GB2312"/>
          <w:b w:val="0"/>
          <w:sz w:val="32"/>
          <w:szCs w:val="32"/>
          <w:lang w:val="en-US" w:eastAsia="zh-CN"/>
        </w:rPr>
        <w:t>1.</w:t>
      </w:r>
      <w:r>
        <w:rPr>
          <w:rFonts w:hint="eastAsia" w:ascii="Times New Roman" w:eastAsia="仿宋_GB2312"/>
          <w:b w:val="0"/>
          <w:sz w:val="32"/>
          <w:szCs w:val="32"/>
          <w:lang w:eastAsia="zh-CN"/>
        </w:rPr>
        <w:t>办公设备购置经费</w:t>
      </w:r>
      <w:r>
        <w:rPr>
          <w:rFonts w:ascii="Times New Roman" w:eastAsia="仿宋_GB2312"/>
          <w:b w:val="0"/>
          <w:sz w:val="32"/>
          <w:szCs w:val="32"/>
        </w:rPr>
        <w:t>项目绩效自评情况：根据年初设定的绩效目标，项目绩效自评得分为</w:t>
      </w:r>
      <w:r>
        <w:rPr>
          <w:rFonts w:hint="eastAsia" w:ascii="Times New Roman" w:eastAsia="仿宋_GB2312"/>
          <w:b w:val="0"/>
          <w:sz w:val="32"/>
          <w:szCs w:val="32"/>
          <w:lang w:val="en-US" w:eastAsia="zh-CN"/>
        </w:rPr>
        <w:t>100</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10.7</w:t>
      </w:r>
      <w:r>
        <w:rPr>
          <w:rFonts w:ascii="Times New Roman" w:eastAsia="仿宋_GB2312"/>
          <w:b w:val="0"/>
          <w:sz w:val="32"/>
          <w:szCs w:val="32"/>
        </w:rPr>
        <w:t>万元，执行数为</w:t>
      </w:r>
      <w:r>
        <w:rPr>
          <w:rFonts w:hint="eastAsia" w:ascii="Times New Roman" w:eastAsia="仿宋_GB2312"/>
          <w:b w:val="0"/>
          <w:sz w:val="32"/>
          <w:szCs w:val="32"/>
          <w:lang w:val="en-US" w:eastAsia="zh-CN"/>
        </w:rPr>
        <w:t>10.69</w:t>
      </w:r>
      <w:r>
        <w:rPr>
          <w:rFonts w:ascii="Times New Roman" w:eastAsia="仿宋_GB2312"/>
          <w:b w:val="0"/>
          <w:sz w:val="32"/>
          <w:szCs w:val="32"/>
        </w:rPr>
        <w:t>万元，完成预算的</w:t>
      </w:r>
      <w:r>
        <w:rPr>
          <w:rFonts w:hint="eastAsia" w:ascii="Times New Roman" w:eastAsia="仿宋_GB2312"/>
          <w:b w:val="0"/>
          <w:sz w:val="32"/>
          <w:szCs w:val="32"/>
          <w:lang w:val="en-US" w:eastAsia="zh-CN"/>
        </w:rPr>
        <w:t>99.97</w:t>
      </w:r>
      <w:r>
        <w:rPr>
          <w:rFonts w:ascii="Times New Roman" w:eastAsia="仿宋_GB2312"/>
          <w:b w:val="0"/>
          <w:sz w:val="32"/>
          <w:szCs w:val="32"/>
        </w:rPr>
        <w:t>%。</w:t>
      </w:r>
      <w:r>
        <w:rPr>
          <w:rFonts w:hint="eastAsia" w:ascii="Times New Roman" w:eastAsia="仿宋_GB2312"/>
          <w:b w:val="0"/>
          <w:sz w:val="32"/>
          <w:szCs w:val="32"/>
          <w:lang w:eastAsia="zh-CN"/>
        </w:rPr>
        <w:t>通过项目实施，按需保质的完成办公设备的采购工作，确保日常办公室正常开展。未发现问题。</w:t>
      </w:r>
    </w:p>
    <w:p>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eastAsia="zh-CN"/>
        </w:rPr>
      </w:pPr>
      <w:r>
        <w:rPr>
          <w:rFonts w:hint="eastAsia" w:ascii="Times New Roman" w:eastAsia="仿宋_GB2312"/>
          <w:b w:val="0"/>
          <w:sz w:val="32"/>
          <w:szCs w:val="32"/>
          <w:lang w:val="en-US" w:eastAsia="zh-CN"/>
        </w:rPr>
        <w:t>2.</w:t>
      </w:r>
      <w:r>
        <w:rPr>
          <w:rFonts w:hint="eastAsia" w:ascii="Times New Roman" w:eastAsia="仿宋_GB2312"/>
          <w:b w:val="0"/>
          <w:sz w:val="32"/>
          <w:szCs w:val="32"/>
          <w:lang w:eastAsia="zh-CN"/>
        </w:rPr>
        <w:t>业务咨询委托经费</w:t>
      </w:r>
      <w:r>
        <w:rPr>
          <w:rFonts w:ascii="Times New Roman" w:eastAsia="仿宋_GB2312"/>
          <w:b w:val="0"/>
          <w:sz w:val="32"/>
          <w:szCs w:val="32"/>
        </w:rPr>
        <w:t>项目绩效自评情况：根据年初设定的绩效目标，项目绩效自评得分为</w:t>
      </w:r>
      <w:r>
        <w:rPr>
          <w:rFonts w:hint="eastAsia" w:ascii="Times New Roman" w:eastAsia="仿宋_GB2312"/>
          <w:b w:val="0"/>
          <w:sz w:val="32"/>
          <w:szCs w:val="32"/>
          <w:lang w:val="en-US" w:eastAsia="zh-CN"/>
        </w:rPr>
        <w:t>100</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14.83</w:t>
      </w:r>
      <w:r>
        <w:rPr>
          <w:rFonts w:ascii="Times New Roman" w:eastAsia="仿宋_GB2312"/>
          <w:b w:val="0"/>
          <w:sz w:val="32"/>
          <w:szCs w:val="32"/>
        </w:rPr>
        <w:t>万元，执行数为</w:t>
      </w:r>
      <w:r>
        <w:rPr>
          <w:rFonts w:hint="eastAsia" w:ascii="Times New Roman" w:eastAsia="仿宋_GB2312"/>
          <w:b w:val="0"/>
          <w:sz w:val="32"/>
          <w:szCs w:val="32"/>
          <w:lang w:val="en-US" w:eastAsia="zh-CN"/>
        </w:rPr>
        <w:t>14.83</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w:t>
      </w:r>
      <w:r>
        <w:rPr>
          <w:rFonts w:hint="eastAsia" w:ascii="Times New Roman" w:eastAsia="仿宋_GB2312"/>
          <w:b w:val="0"/>
          <w:sz w:val="32"/>
          <w:szCs w:val="32"/>
          <w:lang w:eastAsia="zh-CN"/>
        </w:rPr>
        <w:t>通过项目实施，经用于支付涉外案（事）件律师聘请费和咨询费，用于在友城拓建过程中的业务委托等费用。未发现问题。</w:t>
      </w:r>
    </w:p>
    <w:p>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eastAsia="zh-CN"/>
        </w:rPr>
      </w:pPr>
      <w:r>
        <w:rPr>
          <w:rFonts w:hint="eastAsia" w:ascii="Times New Roman" w:eastAsia="仿宋_GB2312"/>
          <w:b w:val="0"/>
          <w:sz w:val="32"/>
          <w:szCs w:val="32"/>
          <w:lang w:val="en-US" w:eastAsia="zh-CN"/>
        </w:rPr>
        <w:t>3.</w:t>
      </w:r>
      <w:r>
        <w:rPr>
          <w:rFonts w:hint="eastAsia" w:ascii="Times New Roman" w:eastAsia="仿宋_GB2312"/>
          <w:b w:val="0"/>
          <w:sz w:val="32"/>
          <w:szCs w:val="32"/>
          <w:lang w:eastAsia="zh-CN"/>
        </w:rPr>
        <w:t>业务培训经费</w:t>
      </w:r>
      <w:r>
        <w:rPr>
          <w:rFonts w:ascii="Times New Roman" w:eastAsia="仿宋_GB2312"/>
          <w:b w:val="0"/>
          <w:sz w:val="32"/>
          <w:szCs w:val="32"/>
        </w:rPr>
        <w:t>项目绩效自评情况：根据年初设定的绩效目标，项目绩效自评得分为</w:t>
      </w:r>
      <w:r>
        <w:rPr>
          <w:rFonts w:hint="eastAsia" w:ascii="Times New Roman" w:eastAsia="仿宋_GB2312"/>
          <w:b w:val="0"/>
          <w:sz w:val="32"/>
          <w:szCs w:val="32"/>
          <w:lang w:val="en-US" w:eastAsia="zh-CN"/>
        </w:rPr>
        <w:t>100</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2.24</w:t>
      </w:r>
      <w:r>
        <w:rPr>
          <w:rFonts w:ascii="Times New Roman" w:eastAsia="仿宋_GB2312"/>
          <w:b w:val="0"/>
          <w:sz w:val="32"/>
          <w:szCs w:val="32"/>
        </w:rPr>
        <w:t>万元，执行数为</w:t>
      </w:r>
      <w:r>
        <w:rPr>
          <w:rFonts w:hint="eastAsia" w:ascii="Times New Roman" w:eastAsia="仿宋_GB2312"/>
          <w:b w:val="0"/>
          <w:sz w:val="32"/>
          <w:szCs w:val="32"/>
          <w:lang w:val="en-US" w:eastAsia="zh-CN"/>
        </w:rPr>
        <w:t>2.24</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w:t>
      </w:r>
      <w:r>
        <w:rPr>
          <w:rFonts w:hint="eastAsia" w:ascii="Times New Roman" w:eastAsia="仿宋_GB2312"/>
          <w:b w:val="0"/>
          <w:sz w:val="32"/>
          <w:szCs w:val="32"/>
          <w:lang w:eastAsia="zh-CN"/>
        </w:rPr>
        <w:t>通过项目实施，开展相关业务培训，提升全市外事干部对因公临时出国政策的了解和掌握程度，提高我市企业走出去安全风险的防范意识和防范能力。未发现问题。</w:t>
      </w:r>
    </w:p>
    <w:p>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eastAsia="zh-CN"/>
        </w:rPr>
      </w:pPr>
      <w:r>
        <w:rPr>
          <w:rFonts w:hint="eastAsia" w:ascii="Times New Roman" w:eastAsia="仿宋_GB2312"/>
          <w:b w:val="0"/>
          <w:sz w:val="32"/>
          <w:szCs w:val="32"/>
          <w:lang w:val="en-US" w:eastAsia="zh-CN"/>
        </w:rPr>
        <w:t>4.</w:t>
      </w:r>
      <w:r>
        <w:rPr>
          <w:rFonts w:hint="eastAsia" w:ascii="Times New Roman" w:eastAsia="仿宋_GB2312"/>
          <w:b w:val="0"/>
          <w:sz w:val="32"/>
          <w:szCs w:val="32"/>
          <w:lang w:eastAsia="zh-CN"/>
        </w:rPr>
        <w:t>文件资料印刷经费</w:t>
      </w:r>
      <w:r>
        <w:rPr>
          <w:rFonts w:ascii="Times New Roman" w:eastAsia="仿宋_GB2312"/>
          <w:b w:val="0"/>
          <w:sz w:val="32"/>
          <w:szCs w:val="32"/>
        </w:rPr>
        <w:t>项目绩效自评情况：根据年初设定的绩效目标，项目绩效自评得分为</w:t>
      </w:r>
      <w:r>
        <w:rPr>
          <w:rFonts w:hint="eastAsia" w:ascii="Times New Roman" w:eastAsia="仿宋_GB2312"/>
          <w:b w:val="0"/>
          <w:sz w:val="32"/>
          <w:szCs w:val="32"/>
          <w:lang w:val="en-US" w:eastAsia="zh-CN"/>
        </w:rPr>
        <w:t>100</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3.54</w:t>
      </w:r>
      <w:r>
        <w:rPr>
          <w:rFonts w:ascii="Times New Roman" w:eastAsia="仿宋_GB2312"/>
          <w:b w:val="0"/>
          <w:sz w:val="32"/>
          <w:szCs w:val="32"/>
        </w:rPr>
        <w:t>万元，执行数为</w:t>
      </w:r>
      <w:r>
        <w:rPr>
          <w:rFonts w:hint="eastAsia" w:ascii="Times New Roman" w:eastAsia="仿宋_GB2312"/>
          <w:b w:val="0"/>
          <w:sz w:val="32"/>
          <w:szCs w:val="32"/>
          <w:lang w:val="en-US" w:eastAsia="zh-CN"/>
        </w:rPr>
        <w:t>3.54</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w:t>
      </w:r>
      <w:r>
        <w:rPr>
          <w:rFonts w:hint="eastAsia" w:ascii="Times New Roman" w:eastAsia="仿宋_GB2312"/>
          <w:b w:val="0"/>
          <w:sz w:val="32"/>
          <w:szCs w:val="32"/>
          <w:lang w:eastAsia="zh-CN"/>
        </w:rPr>
        <w:t>通过项目实施，印刷市情介绍材料、涉外宣传材料等，用于推广宣传我市。未发现问题。</w:t>
      </w:r>
    </w:p>
    <w:p>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eastAsia="zh-CN"/>
        </w:rPr>
      </w:pPr>
      <w:r>
        <w:rPr>
          <w:rFonts w:hint="eastAsia" w:ascii="Times New Roman" w:eastAsia="仿宋_GB2312"/>
          <w:b w:val="0"/>
          <w:sz w:val="32"/>
          <w:szCs w:val="32"/>
          <w:lang w:val="en-US" w:eastAsia="zh-CN"/>
        </w:rPr>
        <w:t>5.</w:t>
      </w:r>
      <w:r>
        <w:rPr>
          <w:rFonts w:hint="eastAsia" w:ascii="Times New Roman" w:eastAsia="仿宋_GB2312"/>
          <w:b w:val="0"/>
          <w:sz w:val="32"/>
          <w:szCs w:val="32"/>
          <w:lang w:eastAsia="zh-CN"/>
        </w:rPr>
        <w:t>专项邮电经费</w:t>
      </w:r>
      <w:r>
        <w:rPr>
          <w:rFonts w:ascii="Times New Roman" w:eastAsia="仿宋_GB2312"/>
          <w:b w:val="0"/>
          <w:sz w:val="32"/>
          <w:szCs w:val="32"/>
        </w:rPr>
        <w:t>项目绩效自评情况：根据年初设定的绩效目标，项目绩效自评得分为</w:t>
      </w:r>
      <w:r>
        <w:rPr>
          <w:rFonts w:hint="eastAsia" w:ascii="Times New Roman" w:eastAsia="仿宋_GB2312"/>
          <w:b w:val="0"/>
          <w:sz w:val="32"/>
          <w:szCs w:val="32"/>
          <w:lang w:val="en-US" w:eastAsia="zh-CN"/>
        </w:rPr>
        <w:t>100</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0.07</w:t>
      </w:r>
      <w:r>
        <w:rPr>
          <w:rFonts w:ascii="Times New Roman" w:eastAsia="仿宋_GB2312"/>
          <w:b w:val="0"/>
          <w:sz w:val="32"/>
          <w:szCs w:val="32"/>
        </w:rPr>
        <w:t>万元，执行数为</w:t>
      </w:r>
      <w:r>
        <w:rPr>
          <w:rFonts w:hint="eastAsia" w:ascii="Times New Roman" w:eastAsia="仿宋_GB2312"/>
          <w:b w:val="0"/>
          <w:sz w:val="32"/>
          <w:szCs w:val="32"/>
          <w:lang w:val="en-US" w:eastAsia="zh-CN"/>
        </w:rPr>
        <w:t>0.07</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w:t>
      </w:r>
      <w:r>
        <w:rPr>
          <w:rFonts w:hint="eastAsia" w:ascii="Times New Roman" w:eastAsia="仿宋_GB2312"/>
          <w:b w:val="0"/>
          <w:sz w:val="32"/>
          <w:szCs w:val="32"/>
          <w:lang w:eastAsia="zh-CN"/>
        </w:rPr>
        <w:t>通过项目实施，向友城寄送有关纸质材料原件、市情资料等，进一步加深国外对我市的了解，提高我市在外知名度。未发现问题。</w:t>
      </w:r>
    </w:p>
    <w:p>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eastAsia="zh-CN"/>
        </w:rPr>
      </w:pPr>
      <w:r>
        <w:rPr>
          <w:rFonts w:hint="eastAsia" w:ascii="Times New Roman" w:eastAsia="仿宋_GB2312"/>
          <w:b w:val="0"/>
          <w:sz w:val="32"/>
          <w:szCs w:val="32"/>
          <w:lang w:val="en-US" w:eastAsia="zh-CN"/>
        </w:rPr>
        <w:t>6.</w:t>
      </w:r>
      <w:r>
        <w:rPr>
          <w:rFonts w:hint="eastAsia" w:ascii="Times New Roman" w:eastAsia="仿宋_GB2312"/>
          <w:b w:val="0"/>
          <w:sz w:val="32"/>
          <w:szCs w:val="32"/>
          <w:lang w:eastAsia="zh-CN"/>
        </w:rPr>
        <w:t>新版护照和通行证系统设备购买经费</w:t>
      </w:r>
      <w:r>
        <w:rPr>
          <w:rFonts w:ascii="Times New Roman" w:eastAsia="仿宋_GB2312"/>
          <w:b w:val="0"/>
          <w:sz w:val="32"/>
          <w:szCs w:val="32"/>
        </w:rPr>
        <w:t>项目绩效自评情况：根据年初设定的绩效目标，项目绩效自评得分为</w:t>
      </w:r>
      <w:r>
        <w:rPr>
          <w:rFonts w:hint="eastAsia" w:ascii="Times New Roman" w:eastAsia="仿宋_GB2312"/>
          <w:b w:val="0"/>
          <w:sz w:val="32"/>
          <w:szCs w:val="32"/>
          <w:lang w:val="en-US" w:eastAsia="zh-CN"/>
        </w:rPr>
        <w:t>100</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12</w:t>
      </w:r>
      <w:r>
        <w:rPr>
          <w:rFonts w:ascii="Times New Roman" w:eastAsia="仿宋_GB2312"/>
          <w:b w:val="0"/>
          <w:sz w:val="32"/>
          <w:szCs w:val="32"/>
        </w:rPr>
        <w:t>万元，执行数为</w:t>
      </w:r>
      <w:r>
        <w:rPr>
          <w:rFonts w:hint="eastAsia" w:ascii="Times New Roman" w:eastAsia="仿宋_GB2312"/>
          <w:b w:val="0"/>
          <w:sz w:val="32"/>
          <w:szCs w:val="32"/>
          <w:lang w:val="en-US" w:eastAsia="zh-CN"/>
        </w:rPr>
        <w:t>12</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w:t>
      </w:r>
      <w:r>
        <w:rPr>
          <w:rFonts w:hint="eastAsia" w:ascii="Times New Roman" w:eastAsia="仿宋_GB2312"/>
          <w:b w:val="0"/>
          <w:sz w:val="32"/>
          <w:szCs w:val="32"/>
          <w:lang w:eastAsia="zh-CN"/>
        </w:rPr>
        <w:t>通过项目实施，购买生物特征采集一体机，实现了与省外办护照、签证系统匹配、升级等功能，确保工作正常开展。未发现问题。</w:t>
      </w:r>
    </w:p>
    <w:p>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eastAsia="zh-CN"/>
        </w:rPr>
      </w:pPr>
      <w:r>
        <w:rPr>
          <w:rFonts w:hint="eastAsia" w:ascii="Times New Roman" w:eastAsia="仿宋_GB2312"/>
          <w:b w:val="0"/>
          <w:sz w:val="32"/>
          <w:szCs w:val="32"/>
          <w:lang w:val="en-US" w:eastAsia="zh-CN"/>
        </w:rPr>
        <w:t>7.石家庄市</w:t>
      </w:r>
      <w:r>
        <w:rPr>
          <w:rFonts w:hint="eastAsia" w:ascii="Times New Roman" w:eastAsia="仿宋_GB2312"/>
          <w:b w:val="0"/>
          <w:sz w:val="32"/>
          <w:szCs w:val="32"/>
          <w:lang w:eastAsia="zh-CN"/>
        </w:rPr>
        <w:t>友好演出代表团出访韩国</w:t>
      </w:r>
      <w:r>
        <w:rPr>
          <w:rFonts w:ascii="Times New Roman" w:eastAsia="仿宋_GB2312"/>
          <w:b w:val="0"/>
          <w:sz w:val="32"/>
          <w:szCs w:val="32"/>
        </w:rPr>
        <w:t>项目绩效自评情况：根据年初设定的绩效目标，项目绩效自评得分为</w:t>
      </w:r>
      <w:r>
        <w:rPr>
          <w:rFonts w:hint="eastAsia" w:ascii="Times New Roman" w:eastAsia="仿宋_GB2312"/>
          <w:b w:val="0"/>
          <w:sz w:val="32"/>
          <w:szCs w:val="32"/>
          <w:lang w:val="en-US" w:eastAsia="zh-CN"/>
        </w:rPr>
        <w:t>100</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0.59</w:t>
      </w:r>
      <w:r>
        <w:rPr>
          <w:rFonts w:ascii="Times New Roman" w:eastAsia="仿宋_GB2312"/>
          <w:b w:val="0"/>
          <w:sz w:val="32"/>
          <w:szCs w:val="32"/>
        </w:rPr>
        <w:t>万元，执行数为</w:t>
      </w:r>
      <w:r>
        <w:rPr>
          <w:rFonts w:hint="eastAsia" w:ascii="Times New Roman" w:eastAsia="仿宋_GB2312"/>
          <w:b w:val="0"/>
          <w:sz w:val="32"/>
          <w:szCs w:val="32"/>
          <w:lang w:val="en-US" w:eastAsia="zh-CN"/>
        </w:rPr>
        <w:t>0.59</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w:t>
      </w:r>
      <w:r>
        <w:rPr>
          <w:rFonts w:hint="eastAsia" w:ascii="Times New Roman" w:eastAsia="仿宋_GB2312"/>
          <w:b w:val="0"/>
          <w:sz w:val="32"/>
          <w:szCs w:val="32"/>
          <w:lang w:eastAsia="zh-CN"/>
        </w:rPr>
        <w:t>通过项目实施，市友好演出代表团出访韩国，推动我市加深了与韩国的交流沟通，</w:t>
      </w:r>
      <w:r>
        <w:rPr>
          <w:rFonts w:hint="eastAsia" w:ascii="仿宋_GB2312" w:hAnsi="宋体" w:eastAsia="仿宋_GB2312" w:cs="宋体"/>
          <w:b w:val="0"/>
          <w:bCs w:val="0"/>
          <w:color w:val="000000"/>
          <w:kern w:val="2"/>
          <w:sz w:val="32"/>
          <w:szCs w:val="32"/>
          <w:lang w:val="en-US" w:eastAsia="zh-CN" w:bidi="ar-SA"/>
        </w:rPr>
        <w:t>充分展示了我市文化艺术实力</w:t>
      </w:r>
      <w:r>
        <w:rPr>
          <w:rFonts w:hint="eastAsia" w:ascii="Times New Roman" w:eastAsia="仿宋_GB2312"/>
          <w:b w:val="0"/>
          <w:sz w:val="32"/>
          <w:szCs w:val="32"/>
          <w:lang w:eastAsia="zh-CN"/>
        </w:rPr>
        <w:t>。未发现问题。</w:t>
      </w:r>
    </w:p>
    <w:p>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eastAsia="zh-CN"/>
        </w:rPr>
      </w:pPr>
      <w:r>
        <w:rPr>
          <w:rFonts w:hint="eastAsia" w:ascii="Times New Roman" w:eastAsia="仿宋_GB2312"/>
          <w:b w:val="0"/>
          <w:sz w:val="32"/>
          <w:szCs w:val="32"/>
          <w:lang w:val="en-US" w:eastAsia="zh-CN"/>
        </w:rPr>
        <w:t>8.党组织活动经费</w:t>
      </w:r>
      <w:r>
        <w:rPr>
          <w:rFonts w:ascii="Times New Roman" w:eastAsia="仿宋_GB2312"/>
          <w:b w:val="0"/>
          <w:sz w:val="32"/>
          <w:szCs w:val="32"/>
        </w:rPr>
        <w:t>项目绩效自评情况：根据年初设定的绩效目标，项目绩效自评得分为</w:t>
      </w:r>
      <w:r>
        <w:rPr>
          <w:rFonts w:hint="eastAsia" w:ascii="Times New Roman" w:eastAsia="仿宋_GB2312"/>
          <w:b w:val="0"/>
          <w:sz w:val="32"/>
          <w:szCs w:val="32"/>
          <w:lang w:val="en-US" w:eastAsia="zh-CN"/>
        </w:rPr>
        <w:t>100</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4.14</w:t>
      </w:r>
      <w:r>
        <w:rPr>
          <w:rFonts w:ascii="Times New Roman" w:eastAsia="仿宋_GB2312"/>
          <w:b w:val="0"/>
          <w:sz w:val="32"/>
          <w:szCs w:val="32"/>
        </w:rPr>
        <w:t>万元，执行数为</w:t>
      </w:r>
      <w:r>
        <w:rPr>
          <w:rFonts w:hint="eastAsia" w:ascii="Times New Roman" w:eastAsia="仿宋_GB2312"/>
          <w:b w:val="0"/>
          <w:sz w:val="32"/>
          <w:szCs w:val="32"/>
          <w:lang w:val="en-US" w:eastAsia="zh-CN"/>
        </w:rPr>
        <w:t>4.14</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w:t>
      </w:r>
      <w:r>
        <w:rPr>
          <w:rFonts w:hint="eastAsia" w:ascii="Times New Roman" w:eastAsia="仿宋_GB2312"/>
          <w:b w:val="0"/>
          <w:sz w:val="32"/>
          <w:szCs w:val="32"/>
          <w:lang w:eastAsia="zh-CN"/>
        </w:rPr>
        <w:t>通过项目实施，确保党组织活动正常开展，开展党员教育实践活动、主题教育活动，不断提升我办党员服务、宗旨和意识。未发现问题。</w:t>
      </w:r>
    </w:p>
    <w:p>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eastAsia="zh-CN"/>
        </w:rPr>
      </w:pPr>
      <w:r>
        <w:rPr>
          <w:rFonts w:hint="eastAsia" w:ascii="Times New Roman" w:eastAsia="仿宋_GB2312"/>
          <w:b w:val="0"/>
          <w:sz w:val="32"/>
          <w:szCs w:val="32"/>
          <w:lang w:val="en-US" w:eastAsia="zh-CN"/>
        </w:rPr>
        <w:t>9.外事活动经费</w:t>
      </w:r>
      <w:r>
        <w:rPr>
          <w:rFonts w:ascii="Times New Roman" w:eastAsia="仿宋_GB2312"/>
          <w:b w:val="0"/>
          <w:sz w:val="32"/>
          <w:szCs w:val="32"/>
        </w:rPr>
        <w:t>项目绩效自评情况：根据年初设定的绩效目标，项目绩效自评得分为</w:t>
      </w:r>
      <w:r>
        <w:rPr>
          <w:rFonts w:hint="eastAsia" w:ascii="Times New Roman" w:eastAsia="仿宋_GB2312"/>
          <w:b w:val="0"/>
          <w:sz w:val="32"/>
          <w:szCs w:val="32"/>
          <w:lang w:val="en-US" w:eastAsia="zh-CN"/>
        </w:rPr>
        <w:t>97</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76.79</w:t>
      </w:r>
      <w:r>
        <w:rPr>
          <w:rFonts w:ascii="Times New Roman" w:eastAsia="仿宋_GB2312"/>
          <w:b w:val="0"/>
          <w:sz w:val="32"/>
          <w:szCs w:val="32"/>
        </w:rPr>
        <w:t>万元，执行数为</w:t>
      </w:r>
      <w:r>
        <w:rPr>
          <w:rFonts w:hint="eastAsia" w:ascii="Times New Roman" w:eastAsia="仿宋_GB2312"/>
          <w:b w:val="0"/>
          <w:sz w:val="32"/>
          <w:szCs w:val="32"/>
          <w:lang w:val="en-US" w:eastAsia="zh-CN"/>
        </w:rPr>
        <w:t>67.16</w:t>
      </w:r>
      <w:r>
        <w:rPr>
          <w:rFonts w:ascii="Times New Roman" w:eastAsia="仿宋_GB2312"/>
          <w:b w:val="0"/>
          <w:sz w:val="32"/>
          <w:szCs w:val="32"/>
        </w:rPr>
        <w:t>万元，完成预算的</w:t>
      </w:r>
      <w:r>
        <w:rPr>
          <w:rFonts w:hint="eastAsia" w:ascii="Times New Roman" w:eastAsia="仿宋_GB2312"/>
          <w:b w:val="0"/>
          <w:sz w:val="32"/>
          <w:szCs w:val="32"/>
          <w:lang w:val="en-US" w:eastAsia="zh-CN"/>
        </w:rPr>
        <w:t>87.47</w:t>
      </w:r>
      <w:r>
        <w:rPr>
          <w:rFonts w:ascii="Times New Roman" w:eastAsia="仿宋_GB2312"/>
          <w:b w:val="0"/>
          <w:sz w:val="32"/>
          <w:szCs w:val="32"/>
        </w:rPr>
        <w:t>%。</w:t>
      </w:r>
      <w:r>
        <w:rPr>
          <w:rFonts w:hint="eastAsia" w:ascii="Times New Roman" w:eastAsia="仿宋_GB2312"/>
          <w:b w:val="0"/>
          <w:sz w:val="32"/>
          <w:szCs w:val="32"/>
          <w:lang w:eastAsia="zh-CN"/>
        </w:rPr>
        <w:t>通过项目实施，接待外国友好组织和团体、民间友好人士来访，支持我市友好代表团出访等活动。加强了全市多领域对外交流，增进了解，推动务实合作。未发现问题。</w:t>
      </w:r>
    </w:p>
    <w:p>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eastAsia="zh-CN"/>
        </w:rPr>
      </w:pPr>
      <w:r>
        <w:rPr>
          <w:rFonts w:hint="eastAsia" w:ascii="Times New Roman" w:eastAsia="仿宋_GB2312"/>
          <w:b w:val="0"/>
          <w:sz w:val="32"/>
          <w:szCs w:val="32"/>
          <w:lang w:val="en-US" w:eastAsia="zh-CN"/>
        </w:rPr>
        <w:t>10.石家庄市友好代表团出访印度尼西亚</w:t>
      </w:r>
      <w:r>
        <w:rPr>
          <w:rFonts w:ascii="Times New Roman" w:eastAsia="仿宋_GB2312"/>
          <w:b w:val="0"/>
          <w:sz w:val="32"/>
          <w:szCs w:val="32"/>
        </w:rPr>
        <w:t>项目绩效自评情况：根据年初设定的绩效目标，项目绩效自评得分为</w:t>
      </w:r>
      <w:r>
        <w:rPr>
          <w:rFonts w:hint="eastAsia" w:ascii="Times New Roman" w:eastAsia="仿宋_GB2312"/>
          <w:b w:val="0"/>
          <w:sz w:val="32"/>
          <w:szCs w:val="32"/>
          <w:lang w:val="en-US" w:eastAsia="zh-CN"/>
        </w:rPr>
        <w:t>100</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5.06</w:t>
      </w:r>
      <w:r>
        <w:rPr>
          <w:rFonts w:ascii="Times New Roman" w:eastAsia="仿宋_GB2312"/>
          <w:b w:val="0"/>
          <w:sz w:val="32"/>
          <w:szCs w:val="32"/>
        </w:rPr>
        <w:t>万元，执行数为</w:t>
      </w:r>
      <w:r>
        <w:rPr>
          <w:rFonts w:hint="eastAsia" w:ascii="Times New Roman" w:eastAsia="仿宋_GB2312"/>
          <w:b w:val="0"/>
          <w:sz w:val="32"/>
          <w:szCs w:val="32"/>
          <w:lang w:val="en-US" w:eastAsia="zh-CN"/>
        </w:rPr>
        <w:t>5.06</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w:t>
      </w:r>
      <w:r>
        <w:rPr>
          <w:rFonts w:hint="eastAsia" w:ascii="Times New Roman" w:eastAsia="仿宋_GB2312"/>
          <w:b w:val="0"/>
          <w:sz w:val="32"/>
          <w:szCs w:val="32"/>
          <w:lang w:eastAsia="zh-CN"/>
        </w:rPr>
        <w:t>通过项目实施，顺利完成赴印度尼西亚参加世界城市和地方政府联合组织亚太区执行局第一次会议，推动了我市通过多领域开展对外交流合作。未发现问题。</w:t>
      </w:r>
    </w:p>
    <w:p>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eastAsia="zh-CN"/>
        </w:rPr>
      </w:pPr>
    </w:p>
    <w:p>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eastAsia="zh-CN"/>
        </w:rPr>
      </w:pPr>
    </w:p>
    <w:p>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eastAsia="zh-CN"/>
        </w:rPr>
      </w:pPr>
    </w:p>
    <w:p>
      <w:pPr>
        <w:widowControl/>
        <w:spacing w:before="0" w:beforeLines="0" w:beforeAutospacing="0" w:after="0" w:afterLines="0" w:afterAutospacing="0" w:line="360" w:lineRule="auto"/>
        <w:ind w:firstLine="640" w:firstLineChars="200"/>
        <w:jc w:val="left"/>
        <w:rPr>
          <w:rFonts w:hint="default" w:ascii="Times New Roman" w:eastAsia="仿宋_GB2312"/>
          <w:b w:val="0"/>
          <w:sz w:val="32"/>
          <w:szCs w:val="32"/>
          <w:lang w:val="en-US" w:eastAsia="zh-CN"/>
        </w:rPr>
      </w:pPr>
    </w:p>
    <w:p>
      <w:pPr>
        <w:widowControl/>
        <w:spacing w:before="0" w:beforeLines="0" w:beforeAutospacing="0" w:after="0" w:afterLines="0" w:afterAutospacing="0" w:line="360" w:lineRule="auto"/>
        <w:ind w:firstLine="640" w:firstLineChars="200"/>
        <w:jc w:val="left"/>
        <w:rPr>
          <w:rFonts w:hint="default" w:ascii="Times New Roman" w:eastAsia="仿宋_GB2312"/>
          <w:b w:val="0"/>
          <w:sz w:val="32"/>
          <w:szCs w:val="32"/>
          <w:lang w:val="en-US" w:eastAsia="zh-CN"/>
        </w:rPr>
      </w:pPr>
    </w:p>
    <w:p>
      <w:pPr>
        <w:widowControl/>
        <w:spacing w:before="0" w:beforeLines="0" w:beforeAutospacing="0" w:after="0" w:afterLines="0" w:afterAutospacing="0" w:line="360" w:lineRule="auto"/>
        <w:ind w:firstLine="640" w:firstLineChars="200"/>
        <w:jc w:val="left"/>
        <w:rPr>
          <w:rFonts w:hint="default" w:ascii="Times New Roman" w:eastAsia="仿宋_GB2312"/>
          <w:b w:val="0"/>
          <w:sz w:val="32"/>
          <w:szCs w:val="32"/>
          <w:lang w:val="en-US" w:eastAsia="zh-CN"/>
        </w:rPr>
      </w:pPr>
    </w:p>
    <w:p>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eastAsia="zh-CN"/>
        </w:rPr>
      </w:pPr>
    </w:p>
    <w:p>
      <w:pPr>
        <w:widowControl/>
        <w:spacing w:before="0" w:beforeLines="0" w:beforeAutospacing="0" w:after="0" w:afterLines="0" w:afterAutospacing="0" w:line="360" w:lineRule="auto"/>
        <w:ind w:firstLine="640" w:firstLineChars="200"/>
        <w:jc w:val="left"/>
        <w:rPr>
          <w:rFonts w:hint="eastAsia" w:ascii="仿宋_GB2312" w:hAnsi="仿宋_GB2312" w:eastAsia="仿宋_GB2312" w:cs="仿宋_GB2312"/>
          <w:b/>
          <w:bCs/>
          <w:color w:val="000000"/>
          <w:sz w:val="31"/>
          <w:szCs w:val="31"/>
          <w:lang w:eastAsia="zh-CN"/>
        </w:rPr>
      </w:pPr>
      <w:r>
        <w:rPr>
          <w:rFonts w:ascii="仿宋_GB2312" w:hAnsi="仿宋_GB2312" w:eastAsia="仿宋_GB2312" w:cs="仿宋_GB2312"/>
          <w:b/>
          <w:bCs/>
          <w:color w:val="000000"/>
          <w:sz w:val="31"/>
          <w:szCs w:val="31"/>
        </w:rPr>
        <w:t>附绩效自评表如下</w:t>
      </w:r>
      <w:r>
        <w:rPr>
          <w:rFonts w:hint="eastAsia" w:ascii="仿宋_GB2312" w:hAnsi="仿宋_GB2312" w:eastAsia="仿宋_GB2312" w:cs="仿宋_GB2312"/>
          <w:b/>
          <w:bCs/>
          <w:color w:val="000000"/>
          <w:sz w:val="31"/>
          <w:szCs w:val="31"/>
          <w:lang w:eastAsia="zh-CN"/>
        </w:rPr>
        <w:t>：</w:t>
      </w:r>
    </w:p>
    <w:p>
      <w:pPr>
        <w:widowControl/>
        <w:spacing w:before="0" w:beforeLines="0" w:beforeAutospacing="0" w:after="0" w:afterLines="0" w:afterAutospacing="0" w:line="360" w:lineRule="auto"/>
        <w:jc w:val="left"/>
        <w:rPr>
          <w:rFonts w:hint="eastAsia" w:eastAsia="仿宋_GB2312"/>
          <w:lang w:eastAsia="zh-CN"/>
        </w:rPr>
      </w:pPr>
      <w:r>
        <w:rPr>
          <w:rFonts w:hint="eastAsia" w:ascii="Times New Roman" w:eastAsia="仿宋_GB2312"/>
          <w:b w:val="0"/>
          <w:sz w:val="32"/>
          <w:szCs w:val="32"/>
          <w:lang w:val="en-US" w:eastAsia="zh-CN"/>
        </w:rPr>
        <w:t>1.</w:t>
      </w:r>
      <w:r>
        <w:rPr>
          <w:rFonts w:hint="eastAsia" w:ascii="Times New Roman" w:eastAsia="仿宋_GB2312"/>
          <w:b w:val="0"/>
          <w:sz w:val="32"/>
          <w:szCs w:val="32"/>
          <w:lang w:eastAsia="zh-CN"/>
        </w:rPr>
        <w:t>办公设备购置经费</w:t>
      </w:r>
      <w:r>
        <w:rPr>
          <w:rFonts w:ascii="Times New Roman" w:eastAsia="仿宋_GB2312"/>
          <w:b w:val="0"/>
          <w:sz w:val="32"/>
          <w:szCs w:val="32"/>
        </w:rPr>
        <w:t>项目</w:t>
      </w:r>
      <w:r>
        <w:rPr>
          <w:rFonts w:hint="eastAsia" w:ascii="Times New Roman" w:eastAsia="仿宋_GB2312"/>
          <w:b w:val="0"/>
          <w:sz w:val="32"/>
          <w:szCs w:val="32"/>
          <w:lang w:eastAsia="zh-CN"/>
        </w:rPr>
        <w:t>：</w:t>
      </w:r>
    </w:p>
    <w:p>
      <w:pPr>
        <w:widowControl/>
        <w:spacing w:before="0" w:beforeLines="0" w:beforeAutospacing="0" w:after="0" w:afterLines="0" w:afterAutospacing="0" w:line="360" w:lineRule="auto"/>
        <w:ind w:firstLine="480" w:firstLineChars="200"/>
        <w:jc w:val="left"/>
        <w:rPr>
          <w:rFonts w:hint="eastAsia"/>
          <w:lang w:eastAsia="zh-CN"/>
        </w:rPr>
      </w:pPr>
      <w:r>
        <w:drawing>
          <wp:inline distT="0" distB="0" distL="114300" distR="114300">
            <wp:extent cx="5757545" cy="6275070"/>
            <wp:effectExtent l="0" t="0" r="14605" b="11430"/>
            <wp:docPr id="8"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4"/>
                    <pic:cNvPicPr>
                      <a:picLocks noChangeAspect="1"/>
                    </pic:cNvPicPr>
                  </pic:nvPicPr>
                  <pic:blipFill>
                    <a:blip r:embed="rId17"/>
                    <a:stretch>
                      <a:fillRect/>
                    </a:stretch>
                  </pic:blipFill>
                  <pic:spPr>
                    <a:xfrm>
                      <a:off x="0" y="0"/>
                      <a:ext cx="5757545" cy="6275070"/>
                    </a:xfrm>
                    <a:prstGeom prst="rect">
                      <a:avLst/>
                    </a:prstGeom>
                    <a:noFill/>
                    <a:ln>
                      <a:noFill/>
                    </a:ln>
                  </pic:spPr>
                </pic:pic>
              </a:graphicData>
            </a:graphic>
          </wp:inline>
        </w:drawing>
      </w:r>
    </w:p>
    <w:p>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eastAsia="zh-CN"/>
        </w:rPr>
      </w:pPr>
    </w:p>
    <w:p>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eastAsia="zh-CN"/>
        </w:rPr>
      </w:pPr>
    </w:p>
    <w:p>
      <w:pPr>
        <w:widowControl/>
        <w:numPr>
          <w:ilvl w:val="0"/>
          <w:numId w:val="2"/>
        </w:numPr>
        <w:spacing w:before="0" w:beforeLines="0" w:beforeAutospacing="0" w:after="0" w:afterLines="0" w:afterAutospacing="0" w:line="360" w:lineRule="auto"/>
        <w:ind w:left="240" w:leftChars="0" w:firstLineChars="0"/>
        <w:jc w:val="left"/>
        <w:rPr>
          <w:rFonts w:hint="eastAsia" w:ascii="Times New Roman" w:eastAsia="仿宋_GB2312"/>
          <w:b w:val="0"/>
          <w:sz w:val="32"/>
          <w:szCs w:val="32"/>
          <w:lang w:eastAsia="zh-CN"/>
        </w:rPr>
      </w:pPr>
      <w:r>
        <w:rPr>
          <w:rFonts w:hint="eastAsia" w:ascii="Times New Roman" w:eastAsia="仿宋_GB2312"/>
          <w:b w:val="0"/>
          <w:sz w:val="32"/>
          <w:szCs w:val="32"/>
          <w:lang w:eastAsia="zh-CN"/>
        </w:rPr>
        <w:t>业务咨询委托经费</w:t>
      </w:r>
      <w:r>
        <w:rPr>
          <w:rFonts w:ascii="Times New Roman" w:eastAsia="仿宋_GB2312"/>
          <w:b w:val="0"/>
          <w:sz w:val="32"/>
          <w:szCs w:val="32"/>
        </w:rPr>
        <w:t>项目</w:t>
      </w:r>
      <w:r>
        <w:rPr>
          <w:rFonts w:hint="eastAsia" w:ascii="Times New Roman" w:eastAsia="仿宋_GB2312"/>
          <w:b w:val="0"/>
          <w:sz w:val="32"/>
          <w:szCs w:val="32"/>
          <w:lang w:eastAsia="zh-CN"/>
        </w:rPr>
        <w:t>：</w:t>
      </w:r>
    </w:p>
    <w:p>
      <w:pPr>
        <w:widowControl/>
        <w:numPr>
          <w:numId w:val="0"/>
        </w:numPr>
        <w:spacing w:before="0" w:beforeLines="0" w:beforeAutospacing="0" w:after="0" w:afterLines="0" w:afterAutospacing="0" w:line="360" w:lineRule="auto"/>
        <w:jc w:val="left"/>
      </w:pPr>
      <w:r>
        <w:drawing>
          <wp:inline distT="0" distB="0" distL="114300" distR="114300">
            <wp:extent cx="5755640" cy="7357110"/>
            <wp:effectExtent l="0" t="0" r="16510" b="15240"/>
            <wp:docPr id="6"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3"/>
                    <pic:cNvPicPr>
                      <a:picLocks noChangeAspect="1"/>
                    </pic:cNvPicPr>
                  </pic:nvPicPr>
                  <pic:blipFill>
                    <a:blip r:embed="rId18"/>
                    <a:stretch>
                      <a:fillRect/>
                    </a:stretch>
                  </pic:blipFill>
                  <pic:spPr>
                    <a:xfrm>
                      <a:off x="0" y="0"/>
                      <a:ext cx="5755640" cy="7357110"/>
                    </a:xfrm>
                    <a:prstGeom prst="rect">
                      <a:avLst/>
                    </a:prstGeom>
                    <a:noFill/>
                    <a:ln>
                      <a:noFill/>
                    </a:ln>
                  </pic:spPr>
                </pic:pic>
              </a:graphicData>
            </a:graphic>
          </wp:inline>
        </w:drawing>
      </w:r>
    </w:p>
    <w:p>
      <w:pPr>
        <w:widowControl/>
        <w:numPr>
          <w:ilvl w:val="0"/>
          <w:numId w:val="2"/>
        </w:numPr>
        <w:spacing w:before="0" w:beforeLines="0" w:beforeAutospacing="0" w:after="0" w:afterLines="0" w:afterAutospacing="0" w:line="360" w:lineRule="auto"/>
        <w:ind w:left="240" w:leftChars="0" w:firstLine="0" w:firstLineChars="0"/>
        <w:jc w:val="left"/>
        <w:rPr>
          <w:rFonts w:hint="eastAsia" w:ascii="Times New Roman" w:eastAsia="仿宋_GB2312"/>
          <w:b w:val="0"/>
          <w:sz w:val="32"/>
          <w:szCs w:val="32"/>
          <w:lang w:eastAsia="zh-CN"/>
        </w:rPr>
      </w:pPr>
      <w:r>
        <w:rPr>
          <w:rFonts w:hint="eastAsia" w:ascii="Times New Roman" w:eastAsia="仿宋_GB2312"/>
          <w:b w:val="0"/>
          <w:sz w:val="32"/>
          <w:szCs w:val="32"/>
          <w:lang w:eastAsia="zh-CN"/>
        </w:rPr>
        <w:t>业务培训经费</w:t>
      </w:r>
      <w:r>
        <w:rPr>
          <w:rFonts w:ascii="Times New Roman" w:eastAsia="仿宋_GB2312"/>
          <w:b w:val="0"/>
          <w:sz w:val="32"/>
          <w:szCs w:val="32"/>
        </w:rPr>
        <w:t>项目</w:t>
      </w:r>
      <w:r>
        <w:rPr>
          <w:rFonts w:hint="eastAsia" w:ascii="Times New Roman" w:eastAsia="仿宋_GB2312"/>
          <w:b w:val="0"/>
          <w:sz w:val="32"/>
          <w:szCs w:val="32"/>
          <w:lang w:eastAsia="zh-CN"/>
        </w:rPr>
        <w:t>：</w:t>
      </w:r>
    </w:p>
    <w:p>
      <w:pPr>
        <w:widowControl/>
        <w:numPr>
          <w:numId w:val="0"/>
        </w:numPr>
        <w:spacing w:before="0" w:beforeLines="0" w:beforeAutospacing="0" w:after="0" w:afterLines="0" w:afterAutospacing="0" w:line="360" w:lineRule="auto"/>
        <w:ind w:leftChars="0"/>
        <w:jc w:val="left"/>
      </w:pPr>
      <w:r>
        <w:drawing>
          <wp:inline distT="0" distB="0" distL="114300" distR="114300">
            <wp:extent cx="5629275" cy="7467600"/>
            <wp:effectExtent l="0" t="0" r="9525" b="0"/>
            <wp:docPr id="17"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9"/>
                    <pic:cNvPicPr>
                      <a:picLocks noChangeAspect="1"/>
                    </pic:cNvPicPr>
                  </pic:nvPicPr>
                  <pic:blipFill>
                    <a:blip r:embed="rId19"/>
                    <a:stretch>
                      <a:fillRect/>
                    </a:stretch>
                  </pic:blipFill>
                  <pic:spPr>
                    <a:xfrm>
                      <a:off x="0" y="0"/>
                      <a:ext cx="5629275" cy="7467600"/>
                    </a:xfrm>
                    <a:prstGeom prst="rect">
                      <a:avLst/>
                    </a:prstGeom>
                    <a:noFill/>
                    <a:ln>
                      <a:noFill/>
                    </a:ln>
                  </pic:spPr>
                </pic:pic>
              </a:graphicData>
            </a:graphic>
          </wp:inline>
        </w:drawing>
      </w:r>
    </w:p>
    <w:p>
      <w:pPr>
        <w:widowControl/>
        <w:numPr>
          <w:ilvl w:val="0"/>
          <w:numId w:val="2"/>
        </w:numPr>
        <w:spacing w:before="0" w:beforeLines="0" w:beforeAutospacing="0" w:after="0" w:afterLines="0" w:afterAutospacing="0" w:line="360" w:lineRule="auto"/>
        <w:ind w:left="240" w:leftChars="0" w:firstLine="0" w:firstLineChars="0"/>
        <w:jc w:val="left"/>
        <w:rPr>
          <w:rFonts w:hint="eastAsia" w:ascii="Times New Roman" w:eastAsia="仿宋_GB2312"/>
          <w:b w:val="0"/>
          <w:sz w:val="32"/>
          <w:szCs w:val="32"/>
          <w:lang w:eastAsia="zh-CN"/>
        </w:rPr>
      </w:pPr>
      <w:r>
        <w:rPr>
          <w:rFonts w:hint="eastAsia" w:ascii="Times New Roman" w:eastAsia="仿宋_GB2312"/>
          <w:b w:val="0"/>
          <w:sz w:val="32"/>
          <w:szCs w:val="32"/>
          <w:lang w:eastAsia="zh-CN"/>
        </w:rPr>
        <w:t>文件资料印刷经费</w:t>
      </w:r>
      <w:r>
        <w:rPr>
          <w:rFonts w:ascii="Times New Roman" w:eastAsia="仿宋_GB2312"/>
          <w:b w:val="0"/>
          <w:sz w:val="32"/>
          <w:szCs w:val="32"/>
        </w:rPr>
        <w:t>项目</w:t>
      </w:r>
      <w:r>
        <w:rPr>
          <w:rFonts w:hint="eastAsia" w:ascii="Times New Roman" w:eastAsia="仿宋_GB2312"/>
          <w:b w:val="0"/>
          <w:sz w:val="32"/>
          <w:szCs w:val="32"/>
          <w:lang w:eastAsia="zh-CN"/>
        </w:rPr>
        <w:t>：</w:t>
      </w:r>
    </w:p>
    <w:p>
      <w:pPr>
        <w:widowControl/>
        <w:numPr>
          <w:numId w:val="0"/>
        </w:numPr>
        <w:spacing w:before="0" w:beforeLines="0" w:beforeAutospacing="0" w:after="0" w:afterLines="0" w:afterAutospacing="0" w:line="360" w:lineRule="auto"/>
        <w:ind w:leftChars="0"/>
        <w:jc w:val="left"/>
      </w:pPr>
      <w:r>
        <w:drawing>
          <wp:inline distT="0" distB="0" distL="114300" distR="114300">
            <wp:extent cx="5756275" cy="6278245"/>
            <wp:effectExtent l="0" t="0" r="15875" b="8255"/>
            <wp:docPr id="16"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8"/>
                    <pic:cNvPicPr>
                      <a:picLocks noChangeAspect="1"/>
                    </pic:cNvPicPr>
                  </pic:nvPicPr>
                  <pic:blipFill>
                    <a:blip r:embed="rId20"/>
                    <a:stretch>
                      <a:fillRect/>
                    </a:stretch>
                  </pic:blipFill>
                  <pic:spPr>
                    <a:xfrm>
                      <a:off x="0" y="0"/>
                      <a:ext cx="5756275" cy="6278245"/>
                    </a:xfrm>
                    <a:prstGeom prst="rect">
                      <a:avLst/>
                    </a:prstGeom>
                    <a:noFill/>
                    <a:ln>
                      <a:noFill/>
                    </a:ln>
                  </pic:spPr>
                </pic:pic>
              </a:graphicData>
            </a:graphic>
          </wp:inline>
        </w:drawing>
      </w:r>
    </w:p>
    <w:p>
      <w:pPr>
        <w:widowControl/>
        <w:numPr>
          <w:numId w:val="0"/>
        </w:numPr>
        <w:spacing w:before="0" w:beforeLines="0" w:beforeAutospacing="0" w:after="0" w:afterLines="0" w:afterAutospacing="0" w:line="360" w:lineRule="auto"/>
        <w:ind w:leftChars="0"/>
        <w:jc w:val="left"/>
      </w:pPr>
    </w:p>
    <w:p>
      <w:pPr>
        <w:widowControl/>
        <w:numPr>
          <w:numId w:val="0"/>
        </w:numPr>
        <w:spacing w:before="0" w:beforeLines="0" w:beforeAutospacing="0" w:after="0" w:afterLines="0" w:afterAutospacing="0" w:line="360" w:lineRule="auto"/>
        <w:ind w:leftChars="0"/>
        <w:jc w:val="left"/>
      </w:pPr>
    </w:p>
    <w:p>
      <w:pPr>
        <w:widowControl/>
        <w:numPr>
          <w:numId w:val="0"/>
        </w:numPr>
        <w:spacing w:before="0" w:beforeLines="0" w:beforeAutospacing="0" w:after="0" w:afterLines="0" w:afterAutospacing="0" w:line="360" w:lineRule="auto"/>
        <w:ind w:leftChars="0"/>
        <w:jc w:val="left"/>
      </w:pPr>
    </w:p>
    <w:p>
      <w:pPr>
        <w:widowControl/>
        <w:numPr>
          <w:ilvl w:val="0"/>
          <w:numId w:val="2"/>
        </w:numPr>
        <w:spacing w:before="0" w:beforeLines="0" w:beforeAutospacing="0" w:after="0" w:afterLines="0" w:afterAutospacing="0" w:line="360" w:lineRule="auto"/>
        <w:ind w:left="240" w:leftChars="0" w:firstLine="0" w:firstLineChars="0"/>
        <w:jc w:val="left"/>
        <w:rPr>
          <w:rFonts w:hint="eastAsia" w:ascii="Times New Roman" w:eastAsia="仿宋_GB2312"/>
          <w:b w:val="0"/>
          <w:sz w:val="32"/>
          <w:szCs w:val="32"/>
          <w:lang w:eastAsia="zh-CN"/>
        </w:rPr>
      </w:pPr>
      <w:r>
        <w:rPr>
          <w:rFonts w:hint="eastAsia" w:ascii="Times New Roman" w:eastAsia="仿宋_GB2312"/>
          <w:b w:val="0"/>
          <w:sz w:val="32"/>
          <w:szCs w:val="32"/>
          <w:lang w:eastAsia="zh-CN"/>
        </w:rPr>
        <w:t>专项邮电经费</w:t>
      </w:r>
      <w:r>
        <w:rPr>
          <w:rFonts w:ascii="Times New Roman" w:eastAsia="仿宋_GB2312"/>
          <w:b w:val="0"/>
          <w:sz w:val="32"/>
          <w:szCs w:val="32"/>
        </w:rPr>
        <w:t>项目</w:t>
      </w:r>
      <w:r>
        <w:rPr>
          <w:rFonts w:hint="eastAsia" w:ascii="Times New Roman" w:eastAsia="仿宋_GB2312"/>
          <w:b w:val="0"/>
          <w:sz w:val="32"/>
          <w:szCs w:val="32"/>
          <w:lang w:eastAsia="zh-CN"/>
        </w:rPr>
        <w:t>：</w:t>
      </w:r>
    </w:p>
    <w:p>
      <w:pPr>
        <w:widowControl/>
        <w:numPr>
          <w:numId w:val="0"/>
        </w:numPr>
        <w:spacing w:before="0" w:beforeLines="0" w:beforeAutospacing="0" w:after="0" w:afterLines="0" w:afterAutospacing="0" w:line="360" w:lineRule="auto"/>
        <w:ind w:leftChars="0"/>
        <w:jc w:val="left"/>
      </w:pPr>
      <w:r>
        <w:drawing>
          <wp:inline distT="0" distB="0" distL="114300" distR="114300">
            <wp:extent cx="5756275" cy="6253480"/>
            <wp:effectExtent l="0" t="0" r="15875" b="13970"/>
            <wp:docPr id="14"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7"/>
                    <pic:cNvPicPr>
                      <a:picLocks noChangeAspect="1"/>
                    </pic:cNvPicPr>
                  </pic:nvPicPr>
                  <pic:blipFill>
                    <a:blip r:embed="rId21"/>
                    <a:stretch>
                      <a:fillRect/>
                    </a:stretch>
                  </pic:blipFill>
                  <pic:spPr>
                    <a:xfrm>
                      <a:off x="0" y="0"/>
                      <a:ext cx="5756275" cy="6253480"/>
                    </a:xfrm>
                    <a:prstGeom prst="rect">
                      <a:avLst/>
                    </a:prstGeom>
                    <a:noFill/>
                    <a:ln>
                      <a:noFill/>
                    </a:ln>
                  </pic:spPr>
                </pic:pic>
              </a:graphicData>
            </a:graphic>
          </wp:inline>
        </w:drawing>
      </w:r>
    </w:p>
    <w:p>
      <w:pPr>
        <w:widowControl/>
        <w:numPr>
          <w:numId w:val="0"/>
        </w:numPr>
        <w:spacing w:before="0" w:beforeLines="0" w:beforeAutospacing="0" w:after="0" w:afterLines="0" w:afterAutospacing="0" w:line="360" w:lineRule="auto"/>
        <w:ind w:leftChars="0"/>
        <w:jc w:val="left"/>
      </w:pPr>
    </w:p>
    <w:p>
      <w:pPr>
        <w:widowControl/>
        <w:numPr>
          <w:numId w:val="0"/>
        </w:numPr>
        <w:spacing w:before="0" w:beforeLines="0" w:beforeAutospacing="0" w:after="0" w:afterLines="0" w:afterAutospacing="0" w:line="360" w:lineRule="auto"/>
        <w:ind w:leftChars="0"/>
        <w:jc w:val="left"/>
      </w:pPr>
    </w:p>
    <w:p>
      <w:pPr>
        <w:widowControl/>
        <w:numPr>
          <w:numId w:val="0"/>
        </w:numPr>
        <w:spacing w:before="0" w:beforeLines="0" w:beforeAutospacing="0" w:after="0" w:afterLines="0" w:afterAutospacing="0" w:line="360" w:lineRule="auto"/>
        <w:ind w:leftChars="0"/>
        <w:jc w:val="left"/>
      </w:pPr>
    </w:p>
    <w:p>
      <w:pPr>
        <w:widowControl/>
        <w:numPr>
          <w:numId w:val="0"/>
        </w:numPr>
        <w:spacing w:before="0" w:beforeLines="0" w:beforeAutospacing="0" w:after="0" w:afterLines="0" w:afterAutospacing="0" w:line="360" w:lineRule="auto"/>
        <w:ind w:leftChars="0"/>
        <w:jc w:val="left"/>
      </w:pPr>
    </w:p>
    <w:p>
      <w:pPr>
        <w:widowControl/>
        <w:numPr>
          <w:numId w:val="0"/>
        </w:numPr>
        <w:spacing w:before="0" w:beforeLines="0" w:beforeAutospacing="0" w:after="0" w:afterLines="0" w:afterAutospacing="0" w:line="360" w:lineRule="auto"/>
        <w:ind w:leftChars="0"/>
        <w:jc w:val="left"/>
        <w:rPr>
          <w:rFonts w:hint="eastAsia" w:eastAsia="仿宋_GB2312"/>
          <w:lang w:eastAsia="zh-CN"/>
        </w:rPr>
      </w:pPr>
      <w:r>
        <w:rPr>
          <w:rFonts w:hint="eastAsia" w:ascii="Times New Roman" w:eastAsia="仿宋_GB2312"/>
          <w:b w:val="0"/>
          <w:sz w:val="32"/>
          <w:szCs w:val="32"/>
          <w:lang w:val="en-US" w:eastAsia="zh-CN"/>
        </w:rPr>
        <w:t>6.</w:t>
      </w:r>
      <w:r>
        <w:rPr>
          <w:rFonts w:hint="eastAsia" w:ascii="Times New Roman" w:eastAsia="仿宋_GB2312"/>
          <w:b w:val="0"/>
          <w:sz w:val="32"/>
          <w:szCs w:val="32"/>
          <w:lang w:eastAsia="zh-CN"/>
        </w:rPr>
        <w:t>新版护照和通行证系统设备购买经费</w:t>
      </w:r>
      <w:r>
        <w:rPr>
          <w:rFonts w:ascii="Times New Roman" w:eastAsia="仿宋_GB2312"/>
          <w:b w:val="0"/>
          <w:sz w:val="32"/>
          <w:szCs w:val="32"/>
        </w:rPr>
        <w:t>项目</w:t>
      </w:r>
      <w:r>
        <w:rPr>
          <w:rFonts w:hint="eastAsia" w:ascii="Times New Roman" w:eastAsia="仿宋_GB2312"/>
          <w:b w:val="0"/>
          <w:sz w:val="32"/>
          <w:szCs w:val="32"/>
          <w:lang w:eastAsia="zh-CN"/>
        </w:rPr>
        <w:t>：</w:t>
      </w:r>
    </w:p>
    <w:p>
      <w:pPr>
        <w:widowControl/>
        <w:spacing w:before="0" w:beforeLines="0" w:beforeAutospacing="0" w:after="0" w:afterLines="0" w:afterAutospacing="0" w:line="360" w:lineRule="auto"/>
        <w:ind w:firstLine="480" w:firstLineChars="200"/>
        <w:jc w:val="left"/>
      </w:pPr>
      <w:r>
        <w:drawing>
          <wp:inline distT="0" distB="0" distL="114300" distR="114300">
            <wp:extent cx="5760085" cy="6555740"/>
            <wp:effectExtent l="0" t="0" r="12065" b="16510"/>
            <wp:docPr id="18"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10"/>
                    <pic:cNvPicPr>
                      <a:picLocks noChangeAspect="1"/>
                    </pic:cNvPicPr>
                  </pic:nvPicPr>
                  <pic:blipFill>
                    <a:blip r:embed="rId22"/>
                    <a:stretch>
                      <a:fillRect/>
                    </a:stretch>
                  </pic:blipFill>
                  <pic:spPr>
                    <a:xfrm>
                      <a:off x="0" y="0"/>
                      <a:ext cx="5760085" cy="6555740"/>
                    </a:xfrm>
                    <a:prstGeom prst="rect">
                      <a:avLst/>
                    </a:prstGeom>
                    <a:noFill/>
                    <a:ln>
                      <a:noFill/>
                    </a:ln>
                  </pic:spPr>
                </pic:pic>
              </a:graphicData>
            </a:graphic>
          </wp:inline>
        </w:drawing>
      </w:r>
    </w:p>
    <w:p>
      <w:pPr>
        <w:widowControl/>
        <w:spacing w:before="0" w:beforeLines="0" w:beforeAutospacing="0" w:after="0" w:afterLines="0" w:afterAutospacing="0" w:line="360" w:lineRule="auto"/>
        <w:ind w:firstLine="480" w:firstLineChars="200"/>
        <w:jc w:val="left"/>
      </w:pPr>
    </w:p>
    <w:p>
      <w:pPr>
        <w:widowControl/>
        <w:spacing w:before="0" w:beforeLines="0" w:beforeAutospacing="0" w:after="0" w:afterLines="0" w:afterAutospacing="0" w:line="360" w:lineRule="auto"/>
        <w:ind w:firstLine="480" w:firstLineChars="200"/>
        <w:jc w:val="left"/>
      </w:pPr>
    </w:p>
    <w:p>
      <w:pPr>
        <w:widowControl/>
        <w:spacing w:before="0" w:beforeLines="0" w:beforeAutospacing="0" w:after="0" w:afterLines="0" w:afterAutospacing="0" w:line="360" w:lineRule="auto"/>
        <w:ind w:firstLine="480" w:firstLineChars="200"/>
        <w:jc w:val="left"/>
      </w:pPr>
    </w:p>
    <w:p>
      <w:pPr>
        <w:widowControl/>
        <w:numPr>
          <w:numId w:val="0"/>
        </w:numPr>
        <w:spacing w:before="0" w:beforeLines="0" w:beforeAutospacing="0" w:after="0" w:afterLines="0" w:afterAutospacing="0" w:line="360" w:lineRule="auto"/>
        <w:ind w:left="240" w:leftChars="0"/>
        <w:jc w:val="left"/>
        <w:rPr>
          <w:rFonts w:hint="eastAsia" w:ascii="Times New Roman" w:eastAsia="仿宋_GB2312"/>
          <w:b w:val="0"/>
          <w:sz w:val="32"/>
          <w:szCs w:val="32"/>
          <w:lang w:eastAsia="zh-CN"/>
        </w:rPr>
      </w:pPr>
      <w:r>
        <w:rPr>
          <w:rFonts w:hint="eastAsia" w:ascii="Times New Roman" w:eastAsia="仿宋_GB2312"/>
          <w:b w:val="0"/>
          <w:sz w:val="32"/>
          <w:szCs w:val="32"/>
          <w:lang w:val="en-US" w:eastAsia="zh-CN"/>
        </w:rPr>
        <w:t>7.石家庄市</w:t>
      </w:r>
      <w:r>
        <w:rPr>
          <w:rFonts w:hint="eastAsia" w:ascii="Times New Roman" w:eastAsia="仿宋_GB2312"/>
          <w:b w:val="0"/>
          <w:sz w:val="32"/>
          <w:szCs w:val="32"/>
          <w:lang w:eastAsia="zh-CN"/>
        </w:rPr>
        <w:t>友好演出代表团出访韩国</w:t>
      </w:r>
      <w:r>
        <w:rPr>
          <w:rFonts w:ascii="Times New Roman" w:eastAsia="仿宋_GB2312"/>
          <w:b w:val="0"/>
          <w:sz w:val="32"/>
          <w:szCs w:val="32"/>
        </w:rPr>
        <w:t>项目</w:t>
      </w:r>
      <w:r>
        <w:rPr>
          <w:rFonts w:hint="eastAsia" w:ascii="Times New Roman" w:eastAsia="仿宋_GB2312"/>
          <w:b w:val="0"/>
          <w:sz w:val="32"/>
          <w:szCs w:val="32"/>
          <w:lang w:eastAsia="zh-CN"/>
        </w:rPr>
        <w:t>：</w:t>
      </w:r>
    </w:p>
    <w:p>
      <w:pPr>
        <w:widowControl/>
        <w:numPr>
          <w:numId w:val="0"/>
        </w:numPr>
        <w:spacing w:before="0" w:beforeLines="0" w:beforeAutospacing="0" w:after="0" w:afterLines="0" w:afterAutospacing="0" w:line="360" w:lineRule="auto"/>
        <w:ind w:left="240" w:leftChars="0"/>
        <w:jc w:val="left"/>
      </w:pPr>
      <w:r>
        <w:drawing>
          <wp:inline distT="0" distB="0" distL="114300" distR="114300">
            <wp:extent cx="5760085" cy="6553835"/>
            <wp:effectExtent l="0" t="0" r="12065" b="18415"/>
            <wp:docPr id="19"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11"/>
                    <pic:cNvPicPr>
                      <a:picLocks noChangeAspect="1"/>
                    </pic:cNvPicPr>
                  </pic:nvPicPr>
                  <pic:blipFill>
                    <a:blip r:embed="rId23"/>
                    <a:stretch>
                      <a:fillRect/>
                    </a:stretch>
                  </pic:blipFill>
                  <pic:spPr>
                    <a:xfrm>
                      <a:off x="0" y="0"/>
                      <a:ext cx="5760085" cy="6553835"/>
                    </a:xfrm>
                    <a:prstGeom prst="rect">
                      <a:avLst/>
                    </a:prstGeom>
                    <a:noFill/>
                    <a:ln>
                      <a:noFill/>
                    </a:ln>
                  </pic:spPr>
                </pic:pic>
              </a:graphicData>
            </a:graphic>
          </wp:inline>
        </w:drawing>
      </w:r>
    </w:p>
    <w:p>
      <w:pPr>
        <w:widowControl/>
        <w:numPr>
          <w:numId w:val="0"/>
        </w:numPr>
        <w:spacing w:before="0" w:beforeLines="0" w:beforeAutospacing="0" w:after="0" w:afterLines="0" w:afterAutospacing="0" w:line="360" w:lineRule="auto"/>
        <w:ind w:left="240" w:leftChars="0"/>
        <w:jc w:val="left"/>
      </w:pPr>
    </w:p>
    <w:p>
      <w:pPr>
        <w:widowControl/>
        <w:numPr>
          <w:numId w:val="0"/>
        </w:numPr>
        <w:spacing w:before="0" w:beforeLines="0" w:beforeAutospacing="0" w:after="0" w:afterLines="0" w:afterAutospacing="0" w:line="360" w:lineRule="auto"/>
        <w:ind w:left="240" w:leftChars="0"/>
        <w:jc w:val="left"/>
      </w:pPr>
    </w:p>
    <w:p>
      <w:pPr>
        <w:widowControl/>
        <w:numPr>
          <w:numId w:val="0"/>
        </w:numPr>
        <w:spacing w:before="0" w:beforeLines="0" w:beforeAutospacing="0" w:after="0" w:afterLines="0" w:afterAutospacing="0" w:line="360" w:lineRule="auto"/>
        <w:ind w:left="240" w:leftChars="0"/>
        <w:jc w:val="left"/>
      </w:pPr>
    </w:p>
    <w:p>
      <w:pPr>
        <w:widowControl/>
        <w:numPr>
          <w:ilvl w:val="0"/>
          <w:numId w:val="3"/>
        </w:numPr>
        <w:spacing w:before="0" w:beforeLines="0" w:beforeAutospacing="0" w:after="0" w:afterLines="0" w:afterAutospacing="0" w:line="360" w:lineRule="auto"/>
        <w:ind w:left="240" w:leftChars="0"/>
        <w:jc w:val="left"/>
        <w:rPr>
          <w:rFonts w:hint="eastAsia" w:ascii="Times New Roman" w:eastAsia="仿宋_GB2312"/>
          <w:b w:val="0"/>
          <w:sz w:val="32"/>
          <w:szCs w:val="32"/>
          <w:lang w:eastAsia="zh-CN"/>
        </w:rPr>
      </w:pPr>
      <w:r>
        <w:rPr>
          <w:rFonts w:hint="eastAsia" w:ascii="Times New Roman" w:eastAsia="仿宋_GB2312"/>
          <w:b w:val="0"/>
          <w:sz w:val="32"/>
          <w:szCs w:val="32"/>
          <w:lang w:val="en-US" w:eastAsia="zh-CN"/>
        </w:rPr>
        <w:t>党组织活动经费</w:t>
      </w:r>
      <w:r>
        <w:rPr>
          <w:rFonts w:ascii="Times New Roman" w:eastAsia="仿宋_GB2312"/>
          <w:b w:val="0"/>
          <w:sz w:val="32"/>
          <w:szCs w:val="32"/>
        </w:rPr>
        <w:t>项目</w:t>
      </w:r>
      <w:r>
        <w:rPr>
          <w:rFonts w:hint="eastAsia" w:ascii="Times New Roman" w:eastAsia="仿宋_GB2312"/>
          <w:b w:val="0"/>
          <w:sz w:val="32"/>
          <w:szCs w:val="32"/>
          <w:lang w:eastAsia="zh-CN"/>
        </w:rPr>
        <w:t>：</w:t>
      </w:r>
    </w:p>
    <w:p>
      <w:pPr>
        <w:widowControl/>
        <w:numPr>
          <w:numId w:val="0"/>
        </w:numPr>
        <w:spacing w:before="0" w:beforeLines="0" w:beforeAutospacing="0" w:after="0" w:afterLines="0" w:afterAutospacing="0" w:line="360" w:lineRule="auto"/>
        <w:jc w:val="left"/>
      </w:pPr>
      <w:r>
        <w:drawing>
          <wp:inline distT="0" distB="0" distL="114300" distR="114300">
            <wp:extent cx="5760085" cy="6512560"/>
            <wp:effectExtent l="0" t="0" r="12065" b="2540"/>
            <wp:docPr id="20"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12"/>
                    <pic:cNvPicPr>
                      <a:picLocks noChangeAspect="1"/>
                    </pic:cNvPicPr>
                  </pic:nvPicPr>
                  <pic:blipFill>
                    <a:blip r:embed="rId24"/>
                    <a:stretch>
                      <a:fillRect/>
                    </a:stretch>
                  </pic:blipFill>
                  <pic:spPr>
                    <a:xfrm>
                      <a:off x="0" y="0"/>
                      <a:ext cx="5760085" cy="6512560"/>
                    </a:xfrm>
                    <a:prstGeom prst="rect">
                      <a:avLst/>
                    </a:prstGeom>
                    <a:noFill/>
                    <a:ln>
                      <a:noFill/>
                    </a:ln>
                  </pic:spPr>
                </pic:pic>
              </a:graphicData>
            </a:graphic>
          </wp:inline>
        </w:drawing>
      </w:r>
    </w:p>
    <w:p>
      <w:pPr>
        <w:widowControl/>
        <w:numPr>
          <w:numId w:val="0"/>
        </w:numPr>
        <w:spacing w:before="0" w:beforeLines="0" w:beforeAutospacing="0" w:after="0" w:afterLines="0" w:afterAutospacing="0" w:line="360" w:lineRule="auto"/>
        <w:jc w:val="left"/>
      </w:pPr>
    </w:p>
    <w:p>
      <w:pPr>
        <w:widowControl/>
        <w:numPr>
          <w:numId w:val="0"/>
        </w:numPr>
        <w:spacing w:before="0" w:beforeLines="0" w:beforeAutospacing="0" w:after="0" w:afterLines="0" w:afterAutospacing="0" w:line="360" w:lineRule="auto"/>
        <w:jc w:val="left"/>
      </w:pPr>
    </w:p>
    <w:p>
      <w:pPr>
        <w:widowControl/>
        <w:numPr>
          <w:numId w:val="0"/>
        </w:numPr>
        <w:spacing w:before="0" w:beforeLines="0" w:beforeAutospacing="0" w:after="0" w:afterLines="0" w:afterAutospacing="0" w:line="360" w:lineRule="auto"/>
        <w:jc w:val="left"/>
      </w:pPr>
    </w:p>
    <w:p>
      <w:pPr>
        <w:widowControl/>
        <w:numPr>
          <w:ilvl w:val="0"/>
          <w:numId w:val="3"/>
        </w:numPr>
        <w:spacing w:before="0" w:beforeLines="0" w:beforeAutospacing="0" w:after="0" w:afterLines="0" w:afterAutospacing="0" w:line="360" w:lineRule="auto"/>
        <w:ind w:left="240" w:leftChars="0" w:firstLine="0" w:firstLineChars="0"/>
        <w:jc w:val="left"/>
      </w:pPr>
      <w:r>
        <w:rPr>
          <w:rFonts w:hint="eastAsia" w:ascii="Times New Roman" w:eastAsia="仿宋_GB2312"/>
          <w:b w:val="0"/>
          <w:sz w:val="32"/>
          <w:szCs w:val="32"/>
          <w:lang w:val="en-US" w:eastAsia="zh-CN"/>
        </w:rPr>
        <w:t>外事活动经费</w:t>
      </w:r>
      <w:r>
        <w:rPr>
          <w:rFonts w:ascii="Times New Roman" w:eastAsia="仿宋_GB2312"/>
          <w:b w:val="0"/>
          <w:sz w:val="32"/>
          <w:szCs w:val="32"/>
        </w:rPr>
        <w:t>项目</w:t>
      </w:r>
      <w:r>
        <w:rPr>
          <w:rFonts w:hint="eastAsia" w:ascii="Times New Roman" w:eastAsia="仿宋_GB2312"/>
          <w:b w:val="0"/>
          <w:sz w:val="32"/>
          <w:szCs w:val="32"/>
          <w:lang w:eastAsia="zh-CN"/>
        </w:rPr>
        <w:t>：</w:t>
      </w:r>
      <w:r>
        <w:drawing>
          <wp:inline distT="0" distB="0" distL="114300" distR="114300">
            <wp:extent cx="5756910" cy="6978650"/>
            <wp:effectExtent l="0" t="0" r="15240" b="12700"/>
            <wp:docPr id="21"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13"/>
                    <pic:cNvPicPr>
                      <a:picLocks noChangeAspect="1"/>
                    </pic:cNvPicPr>
                  </pic:nvPicPr>
                  <pic:blipFill>
                    <a:blip r:embed="rId25"/>
                    <a:stretch>
                      <a:fillRect/>
                    </a:stretch>
                  </pic:blipFill>
                  <pic:spPr>
                    <a:xfrm>
                      <a:off x="0" y="0"/>
                      <a:ext cx="5756910" cy="6978650"/>
                    </a:xfrm>
                    <a:prstGeom prst="rect">
                      <a:avLst/>
                    </a:prstGeom>
                    <a:noFill/>
                    <a:ln>
                      <a:noFill/>
                    </a:ln>
                  </pic:spPr>
                </pic:pic>
              </a:graphicData>
            </a:graphic>
          </wp:inline>
        </w:drawing>
      </w:r>
    </w:p>
    <w:p>
      <w:pPr>
        <w:widowControl/>
        <w:numPr>
          <w:numId w:val="0"/>
        </w:numPr>
        <w:spacing w:before="0" w:beforeLines="0" w:beforeAutospacing="0" w:after="0" w:afterLines="0" w:afterAutospacing="0" w:line="360" w:lineRule="auto"/>
        <w:ind w:left="240" w:leftChars="0"/>
        <w:jc w:val="left"/>
        <w:rPr>
          <w:rFonts w:hint="eastAsia"/>
          <w:lang w:eastAsia="zh-CN"/>
        </w:rPr>
      </w:pPr>
    </w:p>
    <w:p>
      <w:pPr>
        <w:widowControl/>
        <w:numPr>
          <w:numId w:val="0"/>
        </w:numPr>
        <w:spacing w:before="0" w:beforeLines="0" w:beforeAutospacing="0" w:after="0" w:afterLines="0" w:afterAutospacing="0" w:line="360" w:lineRule="auto"/>
        <w:ind w:left="240" w:leftChars="0"/>
        <w:jc w:val="left"/>
        <w:rPr>
          <w:rFonts w:hint="eastAsia" w:eastAsia="仿宋_GB2312"/>
          <w:lang w:val="en-US" w:eastAsia="zh-CN"/>
        </w:rPr>
      </w:pPr>
      <w:r>
        <w:rPr>
          <w:rFonts w:hint="eastAsia" w:ascii="Times New Roman" w:eastAsia="仿宋_GB2312"/>
          <w:b w:val="0"/>
          <w:sz w:val="32"/>
          <w:szCs w:val="32"/>
          <w:lang w:val="en-US" w:eastAsia="zh-CN"/>
        </w:rPr>
        <w:t>10.石家庄市友好代表团出访印度尼西亚</w:t>
      </w:r>
      <w:r>
        <w:rPr>
          <w:rFonts w:ascii="Times New Roman" w:eastAsia="仿宋_GB2312"/>
          <w:b w:val="0"/>
          <w:sz w:val="32"/>
          <w:szCs w:val="32"/>
        </w:rPr>
        <w:t>项目</w:t>
      </w:r>
      <w:r>
        <w:rPr>
          <w:rFonts w:hint="eastAsia" w:ascii="Times New Roman" w:eastAsia="仿宋_GB2312"/>
          <w:b w:val="0"/>
          <w:sz w:val="32"/>
          <w:szCs w:val="32"/>
          <w:lang w:val="en-US" w:eastAsia="zh-CN"/>
        </w:rPr>
        <w:t>:</w:t>
      </w:r>
    </w:p>
    <w:p>
      <w:pPr>
        <w:widowControl/>
        <w:numPr>
          <w:numId w:val="0"/>
        </w:numPr>
        <w:spacing w:before="0" w:beforeLines="0" w:beforeAutospacing="0" w:after="0" w:afterLines="0" w:afterAutospacing="0" w:line="360" w:lineRule="auto"/>
        <w:ind w:left="240" w:leftChars="0"/>
        <w:jc w:val="left"/>
        <w:rPr>
          <w:rFonts w:hint="eastAsia" w:eastAsia="仿宋_GB2312"/>
          <w:lang w:val="en-US" w:eastAsia="zh-CN"/>
        </w:rPr>
      </w:pPr>
      <w:r>
        <w:drawing>
          <wp:inline distT="0" distB="0" distL="114300" distR="114300">
            <wp:extent cx="5758180" cy="6671945"/>
            <wp:effectExtent l="0" t="0" r="13970" b="14605"/>
            <wp:docPr id="22"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14"/>
                    <pic:cNvPicPr>
                      <a:picLocks noChangeAspect="1"/>
                    </pic:cNvPicPr>
                  </pic:nvPicPr>
                  <pic:blipFill>
                    <a:blip r:embed="rId26"/>
                    <a:stretch>
                      <a:fillRect/>
                    </a:stretch>
                  </pic:blipFill>
                  <pic:spPr>
                    <a:xfrm>
                      <a:off x="0" y="0"/>
                      <a:ext cx="5758180" cy="6671945"/>
                    </a:xfrm>
                    <a:prstGeom prst="rect">
                      <a:avLst/>
                    </a:prstGeom>
                    <a:noFill/>
                    <a:ln>
                      <a:noFill/>
                    </a:ln>
                  </pic:spPr>
                </pic:pic>
              </a:graphicData>
            </a:graphic>
          </wp:inline>
        </w:drawing>
      </w:r>
    </w:p>
    <w:p>
      <w:pPr>
        <w:widowControl/>
        <w:spacing w:before="0" w:beforeLines="0" w:beforeAutospacing="0" w:after="0" w:afterLines="0" w:afterAutospacing="0" w:line="360" w:lineRule="auto"/>
        <w:ind w:firstLine="643" w:firstLineChars="200"/>
        <w:jc w:val="left"/>
        <w:rPr>
          <w:rFonts w:ascii="Times New Roman" w:eastAsia="仿宋_GB2312"/>
          <w:b/>
          <w:sz w:val="32"/>
          <w:szCs w:val="32"/>
        </w:rPr>
      </w:pPr>
    </w:p>
    <w:p>
      <w:pPr>
        <w:widowControl/>
        <w:spacing w:before="0" w:beforeLines="0" w:beforeAutospacing="0" w:after="0" w:afterLines="0" w:afterAutospacing="0" w:line="360" w:lineRule="auto"/>
        <w:ind w:firstLine="643" w:firstLineChars="200"/>
        <w:jc w:val="left"/>
        <w:rPr>
          <w:rFonts w:ascii="Times New Roman" w:eastAsia="仿宋_GB2312"/>
          <w:b/>
          <w:sz w:val="32"/>
          <w:szCs w:val="32"/>
        </w:rPr>
      </w:pP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（三）部门评价项目绩效评价结果</w:t>
      </w:r>
    </w:p>
    <w:p>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本</w:t>
      </w:r>
      <w:bookmarkStart w:id="0" w:name="_GoBack"/>
      <w:bookmarkEnd w:id="0"/>
      <w:r>
        <w:rPr>
          <w:rFonts w:hint="eastAsia" w:ascii="Times New Roman" w:eastAsia="仿宋_GB2312"/>
          <w:b w:val="0"/>
          <w:sz w:val="32"/>
          <w:szCs w:val="32"/>
          <w:lang w:eastAsia="zh-CN"/>
        </w:rPr>
        <w:t>单位</w:t>
      </w:r>
      <w:r>
        <w:rPr>
          <w:rFonts w:ascii="Times New Roman" w:eastAsia="仿宋_GB2312"/>
          <w:b w:val="0"/>
          <w:sz w:val="32"/>
          <w:szCs w:val="32"/>
        </w:rPr>
        <w:t>本年度无财政评价项目。</w:t>
      </w:r>
    </w:p>
    <w:p>
      <w:pPr>
        <w:widowControl/>
        <w:spacing w:before="0" w:beforeLines="0" w:beforeAutospacing="0" w:after="0" w:afterLines="0" w:afterAutospacing="0" w:line="360" w:lineRule="auto"/>
        <w:ind w:firstLine="640" w:firstLineChars="200"/>
        <w:jc w:val="left"/>
        <w:rPr>
          <w:rFonts w:ascii="Times New Roman" w:eastAsia="黑体"/>
          <w:sz w:val="32"/>
          <w:szCs w:val="32"/>
        </w:rPr>
      </w:pPr>
      <w:r>
        <w:rPr>
          <w:rFonts w:ascii="Times New Roman" w:eastAsia="黑体"/>
          <w:b w:val="0"/>
          <w:sz w:val="32"/>
          <w:szCs w:val="32"/>
        </w:rPr>
        <w:t>十、其他需要说明的情况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1.本单位2024年度政府性基金预算财政拨款收入支出决算表（公开07表）、国有资本经营预算财政拨款支出决算表（公开08表）无相应收支，故空表列示。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2.由于决算公开表格中金额数值应当保留两位小数，公开数据为四舍五入计算结果，个别数据合计项与分项之和存在小数点后差额，特此说明。</w:t>
      </w:r>
    </w:p>
    <w:p>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第四部分名词解释</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指单位从同级财政部门取得的财政预算资金。</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指单位取得的除上述收入以外的各项收入。主要是事业单位固定资产出租收入、存款利息收入等。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指单位以前年度尚未完成、结转到本年仍按原规定用途继续使用的资金，或项目已完成等产生的结余资金。</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指单位按有关规定结转到下年或以后年度继续使用的资金，或项目已完成等产生的结余资金。</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w:t>
      </w:r>
      <w:r>
        <w:rPr>
          <w:rFonts w:ascii="Times New Roman" w:eastAsia="仿宋_GB2312"/>
          <w:b w:val="0"/>
          <w:sz w:val="32"/>
          <w:szCs w:val="32"/>
        </w:rPr>
        <w:t>指事业单位在专业业务活动及其辅助活动之外开展非独立核算经营活动发生的支出。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填列由各级非发展与改革部门集中安排的用于购置固定资产、战备性和应急性储备、土地和无形资产，以及购建基础设施、大型修缮和财政支持企业更新改造所发生的支出。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填列单位除公务用车运行维护费以外的其他交通费用。如公务交通补贴、租车费用、出租车费用，飞机、船舶等燃料费、维修费、保险费等。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填列单位公务用车车辆购置支出（含车辆购置税、牌照费）。</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填列单位除公务用车外的其他各类交通工具（如船舶、飞机等）购置支出（含车辆购置税、牌照费）。</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17" w:bottom="1871" w:left="1417" w:header="851" w:footer="992" w:gutter="0"/>
      <w:pgBorders>
        <w:top w:val="none" w:sz="0" w:space="0"/>
        <w:left w:val="none" w:sz="0" w:space="0"/>
        <w:bottom w:val="none" w:sz="0" w:space="0"/>
        <w:right w:val="none" w:sz="0" w:space="0"/>
      </w:pgBorders>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embedRegular r:id="rId1" w:fontKey="{84A4A484-931B-49B2-A40D-6C85B378269C}"/>
  </w:font>
  <w:font w:name="黑体">
    <w:panose1 w:val="02010609060101010101"/>
    <w:charset w:val="86"/>
    <w:family w:val="auto"/>
    <w:pitch w:val="default"/>
    <w:sig w:usb0="800002BF" w:usb1="38CF7CFA" w:usb2="00000016" w:usb3="00000000" w:csb0="00040001" w:csb1="00000000"/>
    <w:embedRegular r:id="rId2" w:fontKey="{D2FB9032-3571-45C7-B0C5-B537BC78B261}"/>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3" w:fontKey="{A3F1A24C-217E-44B8-BD38-E952281B03B8}"/>
  </w:font>
  <w:font w:name="仿宋">
    <w:panose1 w:val="02010609060101010101"/>
    <w:charset w:val="86"/>
    <w:family w:val="modern"/>
    <w:pitch w:val="default"/>
    <w:sig w:usb0="800002BF" w:usb1="38CF7CFA" w:usb2="00000016" w:usb3="00000000" w:csb0="00040001" w:csb1="00000000"/>
    <w:embedRegular r:id="rId4" w:fontKey="{6A7D4FBB-954E-4677-93A8-4229E2F802F2}"/>
  </w:font>
  <w:font w:name="Calibri Light">
    <w:panose1 w:val="020F0302020204030204"/>
    <w:charset w:val="00"/>
    <w:family w:val="auto"/>
    <w:pitch w:val="default"/>
    <w:sig w:usb0="A00002EF" w:usb1="4000207B" w:usb2="00000000" w:usb3="00000000" w:csb0="2000019F" w:csb1="00000000"/>
  </w:font>
  <w:font w:name="华文中宋">
    <w:altName w:val="宋体"/>
    <w:panose1 w:val="02010600040101010101"/>
    <w:charset w:val="86"/>
    <w:family w:val="auto"/>
    <w:pitch w:val="default"/>
    <w:sig w:usb0="00000000" w:usb1="00000000" w:usb2="00000000" w:usb3="00000000" w:csb0="0004009F" w:csb1="DFD70000"/>
  </w:font>
  <w:font w:name="楷体_GB2312">
    <w:panose1 w:val="02010609030101010101"/>
    <w:charset w:val="86"/>
    <w:family w:val="auto"/>
    <w:pitch w:val="default"/>
    <w:sig w:usb0="00000001" w:usb1="080E0000" w:usb2="00000000" w:usb3="00000000" w:csb0="00040000" w:csb1="00000000"/>
    <w:embedRegular r:id="rId5" w:fontKey="{1A4CE2DD-AA77-422D-AB36-FB95F4845EC9}"/>
  </w:font>
  <w:font w:name="方正小标宋_GBK">
    <w:panose1 w:val="02000000000000000000"/>
    <w:charset w:val="86"/>
    <w:family w:val="script"/>
    <w:pitch w:val="default"/>
    <w:sig w:usb0="A00002BF" w:usb1="38CF7CFA" w:usb2="00082016" w:usb3="00000000" w:csb0="00040001" w:csb1="00000000"/>
    <w:embedRegular r:id="rId6" w:fontKey="{763C5869-898C-4E6F-B4D8-6D53E9C37F34}"/>
  </w:font>
  <w:font w:name="仿宋_GB2312">
    <w:panose1 w:val="02010609030101010101"/>
    <w:charset w:val="86"/>
    <w:family w:val="auto"/>
    <w:pitch w:val="default"/>
    <w:sig w:usb0="00000001" w:usb1="080E0000" w:usb2="00000000" w:usb3="00000000" w:csb0="00040000" w:csb1="00000000"/>
    <w:embedRegular r:id="rId7" w:fontKey="{8E5E5C9D-6EF1-4A2A-99FE-06BD34735A6E}"/>
  </w:font>
  <w:font w:name="ArialUnicodeMS">
    <w:altName w:val="Malgun Gothic"/>
    <w:panose1 w:val="00000000000000000000"/>
    <w:charset w:val="81"/>
    <w:family w:val="auto"/>
    <w:pitch w:val="default"/>
    <w:sig w:usb0="00000000" w:usb1="00000000" w:usb2="00000010" w:usb3="00000000" w:csb0="00080001" w:csb1="00000000"/>
    <w:embedRegular r:id="rId8" w:fontKey="{E328C13A-6453-489E-8B3C-32C4D7872593}"/>
  </w:font>
  <w:font w:name="方正仿宋_GB2312">
    <w:altName w:val="仿宋"/>
    <w:panose1 w:val="02000000000000000000"/>
    <w:charset w:val="86"/>
    <w:family w:val="auto"/>
    <w:pitch w:val="default"/>
    <w:sig w:usb0="00000000" w:usb1="00000000" w:usb2="00000012" w:usb3="00000000" w:csb0="00040001" w:csb1="00000000"/>
    <w:embedRegular r:id="rId9" w:fontKey="{B83E0D77-11AB-4247-A2FC-3F295E685DE5}"/>
  </w:font>
  <w:font w:name="Malgun Gothic">
    <w:panose1 w:val="020B0503020000020004"/>
    <w:charset w:val="81"/>
    <w:family w:val="auto"/>
    <w:pitch w:val="default"/>
    <w:sig w:usb0="900002AF" w:usb1="01D77CFB" w:usb2="00000012" w:usb3="00000000" w:csb0="00080001" w:csb1="00000000"/>
  </w:font>
  <w:font w:name="Cambria">
    <w:panose1 w:val="02040503050406030204"/>
    <w:charset w:val="00"/>
    <w:family w:val="roman"/>
    <w:pitch w:val="default"/>
    <w:sig w:usb0="E00002FF" w:usb1="400004FF" w:usb2="00000000"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jc w:val="center"/>
    </w:pPr>
  </w:p>
  <w:p>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0050117"/>
    <w:multiLevelType w:val="singleLevel"/>
    <w:tmpl w:val="90050117"/>
    <w:lvl w:ilvl="0" w:tentative="0">
      <w:start w:val="2"/>
      <w:numFmt w:val="decimal"/>
      <w:lvlText w:val="%1."/>
      <w:lvlJc w:val="left"/>
      <w:pPr>
        <w:tabs>
          <w:tab w:val="left" w:pos="312"/>
        </w:tabs>
        <w:ind w:left="240"/>
      </w:pPr>
    </w:lvl>
  </w:abstractNum>
  <w:abstractNum w:abstractNumId="1">
    <w:nsid w:val="9256E970"/>
    <w:multiLevelType w:val="singleLevel"/>
    <w:tmpl w:val="9256E970"/>
    <w:lvl w:ilvl="0" w:tentative="0">
      <w:start w:val="8"/>
      <w:numFmt w:val="decimal"/>
      <w:lvlText w:val="%1."/>
      <w:lvlJc w:val="left"/>
      <w:pPr>
        <w:tabs>
          <w:tab w:val="left" w:pos="312"/>
        </w:tabs>
      </w:pPr>
    </w:lvl>
  </w:abstractNum>
  <w:abstractNum w:abstractNumId="2">
    <w:nsid w:val="5F16A424"/>
    <w:multiLevelType w:val="multilevel"/>
    <w:tmpl w:val="5F16A424"/>
    <w:lvl w:ilvl="0" w:tentative="0">
      <w:start w:val="1"/>
      <w:numFmt w:val="decimal"/>
      <w:pStyle w:val="3"/>
      <w:lvlText w:val="%1."/>
      <w:lvlJc w:val="left"/>
      <w:pPr>
        <w:ind w:left="425" w:hanging="425"/>
      </w:pPr>
      <w:rPr>
        <w:rFonts w:hint="default"/>
      </w:rPr>
    </w:lvl>
    <w:lvl w:ilvl="1" w:tentative="0">
      <w:start w:val="1"/>
      <w:numFmt w:val="decimal"/>
      <w:pStyle w:val="2"/>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000000"/>
    <w:rsid w:val="00086151"/>
    <w:rsid w:val="000D6423"/>
    <w:rsid w:val="00236F8C"/>
    <w:rsid w:val="00822154"/>
    <w:rsid w:val="00C65689"/>
    <w:rsid w:val="00CC2C8E"/>
    <w:rsid w:val="01A03C5A"/>
    <w:rsid w:val="01A5267D"/>
    <w:rsid w:val="01AF6A8D"/>
    <w:rsid w:val="024808A2"/>
    <w:rsid w:val="025C3821"/>
    <w:rsid w:val="02DA3B1B"/>
    <w:rsid w:val="02E57B4D"/>
    <w:rsid w:val="03450B90"/>
    <w:rsid w:val="037B12D4"/>
    <w:rsid w:val="03804D63"/>
    <w:rsid w:val="03FB73B0"/>
    <w:rsid w:val="04806B11"/>
    <w:rsid w:val="049C1B9D"/>
    <w:rsid w:val="04BD008C"/>
    <w:rsid w:val="04C55939"/>
    <w:rsid w:val="04DA28BB"/>
    <w:rsid w:val="04F528BE"/>
    <w:rsid w:val="050E10CE"/>
    <w:rsid w:val="054F2DFB"/>
    <w:rsid w:val="05991C82"/>
    <w:rsid w:val="05CD1EC8"/>
    <w:rsid w:val="061416A9"/>
    <w:rsid w:val="061D60A6"/>
    <w:rsid w:val="06236884"/>
    <w:rsid w:val="064C4C64"/>
    <w:rsid w:val="06B07006"/>
    <w:rsid w:val="06FC7C2A"/>
    <w:rsid w:val="07533AFE"/>
    <w:rsid w:val="07AC18F2"/>
    <w:rsid w:val="07B3657A"/>
    <w:rsid w:val="07C857D0"/>
    <w:rsid w:val="083F3A0A"/>
    <w:rsid w:val="08AB5AAF"/>
    <w:rsid w:val="09012C64"/>
    <w:rsid w:val="093B2E99"/>
    <w:rsid w:val="095D7943"/>
    <w:rsid w:val="09C006C6"/>
    <w:rsid w:val="0A10621F"/>
    <w:rsid w:val="0A3E03DD"/>
    <w:rsid w:val="0A464C4F"/>
    <w:rsid w:val="0A6729A3"/>
    <w:rsid w:val="0A694877"/>
    <w:rsid w:val="0AA954BE"/>
    <w:rsid w:val="0AE70639"/>
    <w:rsid w:val="0B4F5E6D"/>
    <w:rsid w:val="0B753AE2"/>
    <w:rsid w:val="0BB67D0A"/>
    <w:rsid w:val="0BC56230"/>
    <w:rsid w:val="0BCF21BD"/>
    <w:rsid w:val="0C4E53E8"/>
    <w:rsid w:val="0C6712D6"/>
    <w:rsid w:val="0C9F7900"/>
    <w:rsid w:val="0CB23317"/>
    <w:rsid w:val="0D101068"/>
    <w:rsid w:val="0D104463"/>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6457D9F"/>
    <w:rsid w:val="17223EFF"/>
    <w:rsid w:val="179F098D"/>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0426D"/>
    <w:rsid w:val="1D1638FE"/>
    <w:rsid w:val="1D1E545A"/>
    <w:rsid w:val="1D4B1F5B"/>
    <w:rsid w:val="1D6C5CA0"/>
    <w:rsid w:val="1D725586"/>
    <w:rsid w:val="1D745B4F"/>
    <w:rsid w:val="1D867987"/>
    <w:rsid w:val="1D944010"/>
    <w:rsid w:val="1DD70E85"/>
    <w:rsid w:val="1DE74AD7"/>
    <w:rsid w:val="1DF60A19"/>
    <w:rsid w:val="1DFA6713"/>
    <w:rsid w:val="1DFE3B5C"/>
    <w:rsid w:val="1E050843"/>
    <w:rsid w:val="1E2D3FB0"/>
    <w:rsid w:val="1E2E50F1"/>
    <w:rsid w:val="1E3B4E26"/>
    <w:rsid w:val="1EDF707D"/>
    <w:rsid w:val="1F394761"/>
    <w:rsid w:val="1F65664C"/>
    <w:rsid w:val="1F7C149A"/>
    <w:rsid w:val="1F84140D"/>
    <w:rsid w:val="1F996BF4"/>
    <w:rsid w:val="1F9B7FFD"/>
    <w:rsid w:val="1F9C7614"/>
    <w:rsid w:val="1FBE1971"/>
    <w:rsid w:val="2008768D"/>
    <w:rsid w:val="20426A05"/>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987FEA"/>
    <w:rsid w:val="23BB6F9A"/>
    <w:rsid w:val="23FC3864"/>
    <w:rsid w:val="24857B00"/>
    <w:rsid w:val="24F25212"/>
    <w:rsid w:val="251B0465"/>
    <w:rsid w:val="254B0AC6"/>
    <w:rsid w:val="25571AB6"/>
    <w:rsid w:val="25B40AD6"/>
    <w:rsid w:val="25BE7872"/>
    <w:rsid w:val="25BF702A"/>
    <w:rsid w:val="26390459"/>
    <w:rsid w:val="264D2D17"/>
    <w:rsid w:val="26D50E55"/>
    <w:rsid w:val="271A539C"/>
    <w:rsid w:val="273823FA"/>
    <w:rsid w:val="274972D4"/>
    <w:rsid w:val="27AA3D97"/>
    <w:rsid w:val="27D270CC"/>
    <w:rsid w:val="280A3758"/>
    <w:rsid w:val="28292E99"/>
    <w:rsid w:val="289057C5"/>
    <w:rsid w:val="28A67C7A"/>
    <w:rsid w:val="28A860AF"/>
    <w:rsid w:val="28EA3248"/>
    <w:rsid w:val="28F879DA"/>
    <w:rsid w:val="291405F5"/>
    <w:rsid w:val="294B7731"/>
    <w:rsid w:val="29514455"/>
    <w:rsid w:val="29D21FF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E0725DC"/>
    <w:rsid w:val="2E1B4BB8"/>
    <w:rsid w:val="2E256CB6"/>
    <w:rsid w:val="2E5F27E4"/>
    <w:rsid w:val="2EBD223E"/>
    <w:rsid w:val="2EC10AD1"/>
    <w:rsid w:val="2ECB6A5A"/>
    <w:rsid w:val="2ED431E9"/>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020EBD"/>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1F66FD"/>
    <w:rsid w:val="37455334"/>
    <w:rsid w:val="37527C32"/>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6F275C"/>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827B97"/>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655F7F"/>
    <w:rsid w:val="43676E20"/>
    <w:rsid w:val="436D074D"/>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6F87C7E"/>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BB3457"/>
    <w:rsid w:val="4DDC3F22"/>
    <w:rsid w:val="4DE66FB2"/>
    <w:rsid w:val="4DEC6CB8"/>
    <w:rsid w:val="4E1028CD"/>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962CB"/>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232437"/>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2C4EBB"/>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312BBD"/>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B1869"/>
    <w:rsid w:val="6D65402D"/>
    <w:rsid w:val="6D683822"/>
    <w:rsid w:val="6D8D136C"/>
    <w:rsid w:val="6DAE28A9"/>
    <w:rsid w:val="6DBF2759"/>
    <w:rsid w:val="6DC96F36"/>
    <w:rsid w:val="6DFA3EBF"/>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DC42DE"/>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8216BE"/>
    <w:rsid w:val="76C23B43"/>
    <w:rsid w:val="76E33C4B"/>
    <w:rsid w:val="76FD6F97"/>
    <w:rsid w:val="770218E8"/>
    <w:rsid w:val="779469CE"/>
    <w:rsid w:val="77C875A5"/>
    <w:rsid w:val="78A27DF6"/>
    <w:rsid w:val="79285B3A"/>
    <w:rsid w:val="79490B03"/>
    <w:rsid w:val="79625CA9"/>
    <w:rsid w:val="79A91196"/>
    <w:rsid w:val="7A0B32D3"/>
    <w:rsid w:val="7AC13CD3"/>
    <w:rsid w:val="7AE10264"/>
    <w:rsid w:val="7AE4248E"/>
    <w:rsid w:val="7B4A207F"/>
    <w:rsid w:val="7B936F45"/>
    <w:rsid w:val="7BA47419"/>
    <w:rsid w:val="7BB10D45"/>
    <w:rsid w:val="7BB44151"/>
    <w:rsid w:val="7BD3160C"/>
    <w:rsid w:val="7C656A39"/>
    <w:rsid w:val="7C880D00"/>
    <w:rsid w:val="7CB93996"/>
    <w:rsid w:val="7CBE0F99"/>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3">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2">
    <w:name w:val="heading 2"/>
    <w:basedOn w:val="1"/>
    <w:next w:val="1"/>
    <w:link w:val="15"/>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2"/>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er" Target="footer1.xml"/><Relationship Id="rId29" Type="http://schemas.openxmlformats.org/officeDocument/2006/relationships/fontTable" Target="fontTable.xml"/><Relationship Id="rId28" Type="http://schemas.openxmlformats.org/officeDocument/2006/relationships/numbering" Target="numbering.xml"/><Relationship Id="rId27" Type="http://schemas.openxmlformats.org/officeDocument/2006/relationships/customXml" Target="../customXml/item1.xml"/><Relationship Id="rId26" Type="http://schemas.openxmlformats.org/officeDocument/2006/relationships/image" Target="media/image11.png"/><Relationship Id="rId25" Type="http://schemas.openxmlformats.org/officeDocument/2006/relationships/image" Target="media/image10.png"/><Relationship Id="rId24" Type="http://schemas.openxmlformats.org/officeDocument/2006/relationships/image" Target="media/image9.png"/><Relationship Id="rId23" Type="http://schemas.openxmlformats.org/officeDocument/2006/relationships/image" Target="media/image8.png"/><Relationship Id="rId22" Type="http://schemas.openxmlformats.org/officeDocument/2006/relationships/image" Target="media/image7.png"/><Relationship Id="rId21" Type="http://schemas.openxmlformats.org/officeDocument/2006/relationships/image" Target="media/image6.png"/><Relationship Id="rId20" Type="http://schemas.openxmlformats.org/officeDocument/2006/relationships/image" Target="media/image5.png"/><Relationship Id="rId2" Type="http://schemas.openxmlformats.org/officeDocument/2006/relationships/settings" Target="settings.xml"/><Relationship Id="rId19" Type="http://schemas.openxmlformats.org/officeDocument/2006/relationships/image" Target="media/image4.png"/><Relationship Id="rId18" Type="http://schemas.openxmlformats.org/officeDocument/2006/relationships/image" Target="media/image3.png"/><Relationship Id="rId17" Type="http://schemas.openxmlformats.org/officeDocument/2006/relationships/image" Target="media/image2.png"/><Relationship Id="rId16" Type="http://schemas.openxmlformats.org/officeDocument/2006/relationships/chart" Target="charts/chart6.xml"/><Relationship Id="rId15" Type="http://schemas.openxmlformats.org/officeDocument/2006/relationships/chart" Target="charts/chart5.xml"/><Relationship Id="rId14" Type="http://schemas.openxmlformats.org/officeDocument/2006/relationships/chart" Target="charts/chart4.xml"/><Relationship Id="rId13" Type="http://schemas.openxmlformats.org/officeDocument/2006/relationships/chart" Target="charts/chart3.xml"/><Relationship Id="rId12" Type="http://schemas.openxmlformats.org/officeDocument/2006/relationships/chart" Target="charts/chart2.xml"/><Relationship Id="rId11" Type="http://schemas.openxmlformats.org/officeDocument/2006/relationships/chart" Target="charts/chart1.xml"/><Relationship Id="rId10" Type="http://schemas.openxmlformats.org/officeDocument/2006/relationships/image" Target="media/image1.jpeg"/><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_rels/chart2.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3.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4.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5.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6.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1120.04</c:v>
                </c:pt>
                <c:pt idx="1">
                  <c:v>1071.84</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10718395.27</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8415544.8</c:v>
                </c:pt>
                <c:pt idx="1">
                  <c:v>2302850.47</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1120.04</c:v>
                </c:pt>
                <c:pt idx="1">
                  <c:v>1120.04</c:v>
                </c:pt>
                <c:pt idx="2">
                  <c:v>1120.04</c:v>
                </c:pt>
                <c:pt idx="3">
                  <c:v>1120.04</c:v>
                </c:pt>
                <c:pt idx="4">
                  <c:v>0</c:v>
                </c:pt>
                <c:pt idx="5">
                  <c:v>0</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1071.84</c:v>
                </c:pt>
                <c:pt idx="1">
                  <c:v>1071.84</c:v>
                </c:pt>
                <c:pt idx="2">
                  <c:v>1071.84</c:v>
                </c:pt>
                <c:pt idx="3">
                  <c:v>1071.84</c:v>
                </c:pt>
                <c:pt idx="4">
                  <c:v>0</c:v>
                </c:pt>
                <c:pt idx="5">
                  <c:v>0</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1968.96</c:v>
                </c:pt>
                <c:pt idx="1">
                  <c:v>1968.96</c:v>
                </c:pt>
                <c:pt idx="2">
                  <c:v>1968.96</c:v>
                </c:pt>
                <c:pt idx="3">
                  <c:v>1968.96</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1071.84</c:v>
                </c:pt>
                <c:pt idx="1">
                  <c:v>1071.84</c:v>
                </c:pt>
                <c:pt idx="2">
                  <c:v>1071.84</c:v>
                </c:pt>
                <c:pt idx="3">
                  <c:v>1071.84</c:v>
                </c:pt>
                <c:pt idx="4">
                  <c:v>0</c:v>
                </c:pt>
                <c:pt idx="5">
                  <c:v>0</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856.14</c:v>
                </c:pt>
                <c:pt idx="1">
                  <c:v>0</c:v>
                </c:pt>
                <c:pt idx="2">
                  <c:v>0</c:v>
                </c:pt>
                <c:pt idx="3">
                  <c:v>0</c:v>
                </c:pt>
                <c:pt idx="4">
                  <c:v>0</c:v>
                </c:pt>
                <c:pt idx="5">
                  <c:v>0</c:v>
                </c:pt>
                <c:pt idx="6">
                  <c:v>0</c:v>
                </c:pt>
                <c:pt idx="7">
                  <c:v>125.94</c:v>
                </c:pt>
                <c:pt idx="8">
                  <c:v>37.76</c:v>
                </c:pt>
                <c:pt idx="9">
                  <c:v>0</c:v>
                </c:pt>
                <c:pt idx="10">
                  <c:v>0</c:v>
                </c:pt>
                <c:pt idx="11">
                  <c:v>0</c:v>
                </c:pt>
                <c:pt idx="12">
                  <c:v>0</c:v>
                </c:pt>
                <c:pt idx="13">
                  <c:v>0</c:v>
                </c:pt>
                <c:pt idx="14">
                  <c:v>0</c:v>
                </c:pt>
                <c:pt idx="15">
                  <c:v>0</c:v>
                </c:pt>
                <c:pt idx="16">
                  <c:v>0</c:v>
                </c:pt>
                <c:pt idx="17">
                  <c:v>0</c:v>
                </c:pt>
                <c:pt idx="18">
                  <c:v>51.99</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customShpExts>
  <s:tags>
    <s:tag s:spid="_x0000_s1026">
      <s:item s:name="KSO_DOCER_RESOURCE_TRACE_INFO" s:val="{&quot;id&quot;:&quot;&quot;,&quot;origin&quot;:0,&quot;type&quot;:&quot;wordart&quot;,&quot;user&quot;:&quot;292216292&quot;}"/>
    </s:tag>
  </s:tag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53</Pages>
  <Words>611</Words>
  <Characters>2169</Characters>
  <Lines>86</Lines>
  <Paragraphs>24</Paragraphs>
  <TotalTime>2</TotalTime>
  <ScaleCrop>false</ScaleCrop>
  <LinksUpToDate>false</LinksUpToDate>
  <CharactersWithSpaces>2170</CharactersWithSpaces>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  与繁華相愛</cp:lastModifiedBy>
  <cp:lastPrinted>2023-08-04T01:00:00Z</cp:lastPrinted>
  <dcterms:modified xsi:type="dcterms:W3CDTF">2025-09-09T09:11:08Z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DAE3506E4C004EF2A2E26C77F3EE65DB</vt:lpwstr>
  </property>
  <property fmtid="{D5CDD505-2E9C-101B-9397-08002B2CF9AE}" pid="4" name="KSOTemplateUUID">
    <vt:lpwstr>v1.0_mb_S7ajbG3IpAnL1wSthNCxfw==</vt:lpwstr>
  </property>
  <property fmtid="{D5CDD505-2E9C-101B-9397-08002B2CF9AE}" pid="5" name="KSOTemplateDocerSaveRecord">
    <vt:lpwstr>eyJoZGlkIjoiYjA3YzVjY2RhYzM1OWI4MmYzZjdlYWUzZWM2YTQyNTYiLCJ1c2VySWQiOiIxNTIwMzY1OTkzIn0=</vt:lpwstr>
  </property>
</Properties>
</file>