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438</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：石家庄市人民政府外事办公室（汇总）</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石家庄市人民政府外事办公室（汇总）</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石家庄市人民政府外事办公室（汇总）</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widowControl/>
        <w:spacing w:before="0" w:beforeLines="0" w:beforeAutospacing="0" w:after="0" w:afterLines="0" w:afterAutospacing="0" w:line="360" w:lineRule="auto"/>
        <w:ind w:firstLine="360" w:firstLineChars="200"/>
        <w:jc w:val="left"/>
        <w:rPr>
          <w:rFonts w:hint="eastAsia" w:ascii="Times New Roman" w:eastAsia="仿宋_GB2312"/>
          <w:b w:val="0"/>
          <w:sz w:val="32"/>
          <w:szCs w:val="32"/>
        </w:rPr>
      </w:pPr>
      <w:r>
        <w:rPr>
          <w:rFonts w:hint="eastAsia" w:ascii="Arial" w:hAnsi="Arial" w:eastAsia="宋体" w:cs="Arial"/>
          <w:color w:val="000000"/>
          <w:sz w:val="18"/>
          <w:szCs w:val="18"/>
          <w:shd w:val="clear" w:color="auto" w:fill="FFFFFF"/>
          <w:lang w:val="en-US" w:eastAsia="zh-CN"/>
        </w:rPr>
        <w:t xml:space="preserve"> </w:t>
      </w:r>
      <w:r>
        <w:rPr>
          <w:rFonts w:hint="eastAsia" w:ascii="Times New Roman" w:eastAsia="仿宋_GB2312"/>
          <w:b w:val="0"/>
          <w:sz w:val="32"/>
          <w:szCs w:val="32"/>
        </w:rPr>
        <w:t>（一）贯彻执行党和国家对外方针政策、涉港澳方针政策和法律法规。贯彻执行市委市政府外事、港澳工作的决策部署,拟定全市性外事、港澳工作规定。</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eastAsia="zh-CN"/>
        </w:rPr>
        <w:t>（二）</w:t>
      </w:r>
      <w:r>
        <w:rPr>
          <w:rFonts w:hint="eastAsia" w:ascii="Times New Roman" w:eastAsia="仿宋_GB2312"/>
          <w:b w:val="0"/>
          <w:sz w:val="32"/>
          <w:szCs w:val="32"/>
        </w:rPr>
        <w:t>贯彻执行和协调推进全市对外交流合作规划和部署,对全市外事工作履行综合归口管理职能。</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eastAsia="zh-CN"/>
        </w:rPr>
        <w:t>（三）</w:t>
      </w:r>
      <w:r>
        <w:rPr>
          <w:rFonts w:hint="eastAsia" w:ascii="Times New Roman" w:eastAsia="仿宋_GB2312"/>
          <w:b w:val="0"/>
          <w:sz w:val="32"/>
          <w:szCs w:val="32"/>
        </w:rPr>
        <w:t>承担我市涉港澳事务综合性工作,负责我市与港澳的交往。</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eastAsia="zh-CN"/>
        </w:rPr>
        <w:t>（四）</w:t>
      </w:r>
      <w:r>
        <w:rPr>
          <w:rFonts w:hint="eastAsia" w:ascii="Times New Roman" w:eastAsia="仿宋_GB2312"/>
          <w:b w:val="0"/>
          <w:sz w:val="32"/>
          <w:szCs w:val="32"/>
        </w:rPr>
        <w:t>承办市领导对外交往事宜,会同有关部门推动全市各领域对外交往。</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（五）负责指导和管理全市因公出国、赴港澳工作。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（六）负责重要外宾邀请、报批工作,组织接待来访的党宾、国宾、政要等重要外宾及外国驻华外交人员。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（七）负责我市境外机构和公民领事保护协调工作,统筹管理我市邀请外国人来华签证工作,会同或配合有关部门处理我市的涉外事务。</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（八）办理来我市采访的外国记者相关事务,会同有关部门办理港澳记者来我市采访的有关事宜,会同有关部门开展对外宣传工作。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（九）统筹协调全市友好城市工作,指导石家庄市人民对外友好协会的工作。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（十）完成省委外事工作委员会办公室、省外办和市委市政府交办的其他任务。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4</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石家庄市人民政府外事办公室（本级）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石家庄市人民对外友好协会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参公事业单位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3</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石家庄市对外交流合作中心</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4</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石家庄市国际事务服务中心</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部门（单位）：石家庄市人民政府外事办公室（汇总）</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1,699.68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1,389.32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181.89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1,699.68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1,712.88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1,712.88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1,712.88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部门（单位）：石家庄市人民政府外事办公室（汇总）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1,699.68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1,699.68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1,376.13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1,376.13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1,376.13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1,376.13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163.12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163.12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444.83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444.83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部门（单位）：石家庄市人民政府外事办公室（汇总）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1,712.88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1,482.59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1,389.32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1,159.04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1,389.32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1,159.04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701.01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701.01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163.12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163.12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458.03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181.89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181.89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88.38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88.38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部门（单位）：石家庄市人民政府外事办公室（汇总）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1,699.68</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1,389.32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1,389.32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181.89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181.89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58.39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58.39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83.27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83.27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1,699.68</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1,712.88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1,712.88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13.20</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1,712.88</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1,712.88</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1,712.88</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89"/>
        <w:gridCol w:w="3491"/>
        <w:gridCol w:w="1027"/>
        <w:gridCol w:w="468"/>
        <w:gridCol w:w="490"/>
        <w:gridCol w:w="335"/>
        <w:gridCol w:w="10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编制部门（单位）：石家庄市人民政府外事办公室（汇总）</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1,712.88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1,482.59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1,389.32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1,159.04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1,389.32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1,159.04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701.01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701.01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458.03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181.89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88.38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部门（单位）：石家庄市人民政府外事办公室（汇总）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1,246.07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123.01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374.79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10.53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148.77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249.46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114.95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115.76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71.71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16.50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101.61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46.92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113.52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113.18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28.70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25.37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1,359.58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123.01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部门（单位）：石家庄市人民政府外事办公室（汇总）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部门（单位）：石家庄市人民政府外事办公室（汇总）</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部门（单位）：石家庄市人民政府外事办公室（汇总）</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90.38</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74.41</w:t>
            </w: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11.97</w:t>
            </w: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90.24</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74.41</w:t>
            </w: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3.86</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3.86</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本部门2024年度收、支总计（含结转和结余）均为1,712.88万元。与2023年度决算相比，收支各减少74.79万元，下降4.2%，主</w:t>
      </w:r>
      <w:r>
        <w:rPr>
          <w:rFonts w:ascii="Times New Roman" w:eastAsia="仿宋_GB2312"/>
          <w:b w:val="0"/>
          <w:sz w:val="32"/>
          <w:szCs w:val="32"/>
        </w:rPr>
        <w:t>要原因是</w:t>
      </w:r>
      <w:r>
        <w:rPr>
          <w:rFonts w:hint="eastAsia" w:ascii="Times New Roman" w:eastAsia="仿宋_GB2312"/>
          <w:b w:val="0"/>
          <w:sz w:val="32"/>
          <w:szCs w:val="32"/>
          <w:lang w:eastAsia="zh-CN"/>
        </w:rPr>
        <w:t>本年人员经费调整、项目经费支出减少</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1,699.68万元，其中：财政拨款收入1,699.68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本部门2024年度本年支出合计1,712.88万元，其中：基本支出1,482.59万元，占86.6%；项目支出230.29万元，占13.4%；上缴上级支出0.00万元，占0.0%；经营支出0.00万元，占0.0%；对附属单位补助支出0.00万元，占0.0%。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本部门2024年度财政拨款收、支总计（含结转和结余）均为1,712.88万元。与2023年度相比，财政拨款收支各减少74.79万元，降低4.2%，主要原因是</w:t>
      </w:r>
      <w:r>
        <w:rPr>
          <w:rFonts w:hint="eastAsia" w:ascii="Times New Roman" w:eastAsia="仿宋_GB2312"/>
          <w:b w:val="0"/>
          <w:sz w:val="32"/>
          <w:szCs w:val="32"/>
          <w:lang w:eastAsia="zh-CN"/>
        </w:rPr>
        <w:t>本年人员经费调整、项目经费支出减少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本部门2024年度财政拨款本年收入1,699.68万元,比上年减少75.35万元，降低4.2%，主要原因是</w:t>
      </w:r>
      <w:r>
        <w:rPr>
          <w:rFonts w:hint="eastAsia" w:ascii="Times New Roman" w:eastAsia="仿宋_GB2312"/>
          <w:b w:val="0"/>
          <w:sz w:val="32"/>
          <w:szCs w:val="32"/>
          <w:lang w:eastAsia="zh-CN"/>
        </w:rPr>
        <w:t>本年人员经费调整、项目经费支出减少</w:t>
      </w:r>
      <w:r>
        <w:rPr>
          <w:rFonts w:ascii="Times New Roman" w:eastAsia="仿宋_GB2312"/>
          <w:b w:val="0"/>
          <w:sz w:val="32"/>
          <w:szCs w:val="32"/>
        </w:rPr>
        <w:t>；本年支出1,712.88万元，比上年减少61.59万元，降低3.5%，主要原因是</w:t>
      </w:r>
      <w:r>
        <w:rPr>
          <w:rFonts w:hint="eastAsia" w:ascii="Times New Roman" w:eastAsia="仿宋_GB2312"/>
          <w:b w:val="0"/>
          <w:sz w:val="32"/>
          <w:szCs w:val="32"/>
          <w:lang w:eastAsia="zh-CN"/>
        </w:rPr>
        <w:t>本年人员经费、日常公用经费减少、项目经费支出减少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1.一般公共预算财政拨款本年收入1,699.68万元,比上年减少75.35万元，降低4.2%，主要原因是</w:t>
      </w:r>
      <w:r>
        <w:rPr>
          <w:rFonts w:hint="eastAsia" w:ascii="Times New Roman" w:eastAsia="仿宋_GB2312"/>
          <w:b w:val="0"/>
          <w:sz w:val="32"/>
          <w:szCs w:val="32"/>
          <w:lang w:eastAsia="zh-CN"/>
        </w:rPr>
        <w:t>本年人员经费调整、项目经费支出减少</w:t>
      </w:r>
      <w:r>
        <w:rPr>
          <w:rFonts w:ascii="Times New Roman" w:eastAsia="仿宋_GB2312"/>
          <w:b w:val="0"/>
          <w:sz w:val="32"/>
          <w:szCs w:val="32"/>
        </w:rPr>
        <w:t>；本年支出1,712.88万元，比上年减少61.59万元，降低3.5%，主要原因是</w:t>
      </w:r>
      <w:r>
        <w:rPr>
          <w:rFonts w:hint="eastAsia" w:ascii="Times New Roman" w:eastAsia="仿宋_GB2312"/>
          <w:b w:val="0"/>
          <w:sz w:val="32"/>
          <w:szCs w:val="32"/>
          <w:lang w:eastAsia="zh-CN"/>
        </w:rPr>
        <w:t>本年人员经费、日常公用经费减少、项目经费支出减少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w:t>
      </w:r>
      <w:r>
        <w:rPr>
          <w:rFonts w:hint="eastAsia" w:ascii="Times New Roman" w:eastAsia="仿宋_GB2312"/>
          <w:b w:val="0"/>
          <w:sz w:val="32"/>
          <w:szCs w:val="32"/>
          <w:lang w:eastAsia="zh-CN"/>
        </w:rPr>
        <w:t>无增减变化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无增减变化</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eastAsia="zh-CN"/>
        </w:rPr>
        <w:t>无增减变化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无增减变化</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本部门2024年度财政拨款本年收入1,699.68万元，完成年初预算的65.4%，比年初预算减少897.59万元，决算数小于预算数主要原因是</w:t>
      </w:r>
      <w:r>
        <w:rPr>
          <w:rFonts w:hint="eastAsia" w:ascii="Times New Roman" w:eastAsia="仿宋_GB2312"/>
          <w:b w:val="0"/>
          <w:sz w:val="32"/>
          <w:szCs w:val="32"/>
          <w:lang w:eastAsia="zh-CN"/>
        </w:rPr>
        <w:t>项目经费减少</w:t>
      </w:r>
      <w:r>
        <w:rPr>
          <w:rFonts w:ascii="Times New Roman" w:eastAsia="仿宋_GB2312"/>
          <w:b w:val="0"/>
          <w:sz w:val="32"/>
          <w:szCs w:val="32"/>
        </w:rPr>
        <w:t>；本年支出1,712.88万元，完成年初预算的65.9%，比年初预算减少884.39万元，决算数小于预算数主要原因是</w:t>
      </w:r>
      <w:r>
        <w:rPr>
          <w:rFonts w:hint="eastAsia" w:ascii="Times New Roman" w:eastAsia="仿宋_GB2312"/>
          <w:b w:val="0"/>
          <w:sz w:val="32"/>
          <w:szCs w:val="32"/>
          <w:lang w:eastAsia="zh-CN"/>
        </w:rPr>
        <w:t>减少项目经费支出和人员、公用支出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1.一般公共预算财政拨款本年收入完成年初预算的65.4%，比年初预算减少897.59万元，主要原因是</w:t>
      </w:r>
      <w:r>
        <w:rPr>
          <w:rFonts w:hint="eastAsia" w:ascii="Times New Roman" w:eastAsia="仿宋_GB2312"/>
          <w:b w:val="0"/>
          <w:sz w:val="32"/>
          <w:szCs w:val="32"/>
          <w:lang w:eastAsia="zh-CN"/>
        </w:rPr>
        <w:t>减少了项目经费</w:t>
      </w:r>
      <w:r>
        <w:rPr>
          <w:rFonts w:ascii="Times New Roman" w:eastAsia="仿宋_GB2312"/>
          <w:b w:val="0"/>
          <w:sz w:val="32"/>
          <w:szCs w:val="32"/>
        </w:rPr>
        <w:t>；支出完成年初预算的65.9%，比年初预算减少884.39万元，主要原因是</w:t>
      </w:r>
      <w:r>
        <w:rPr>
          <w:rFonts w:hint="eastAsia" w:ascii="Times New Roman" w:eastAsia="仿宋_GB2312"/>
          <w:b w:val="0"/>
          <w:sz w:val="32"/>
          <w:szCs w:val="32"/>
          <w:lang w:eastAsia="zh-CN"/>
        </w:rPr>
        <w:t>减少项目经费支出和人员、公用支出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2.政府性基金预算财政拨款本年收入完成年初预算的0.0%，比年初预算增加0.00万元；支出完成年初预算的0.0%，比年初预算增加0.00万元。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3.国有资本经营预算财政拨款本年收入完成年初预算的0.0%，比年初预算增加0.00万元；支出完成年初预算的0.0%，比年初预算增加0.00万元。</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2024年度财政拨款支出1,712.88万元，主要用于以下方面：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一般公共服务（类）支出1,389.32万元，占81.1%，主要用于</w:t>
      </w:r>
      <w:r>
        <w:rPr>
          <w:rFonts w:hint="eastAsia" w:ascii="Times New Roman" w:eastAsia="仿宋_GB2312"/>
          <w:b w:val="0"/>
          <w:sz w:val="32"/>
          <w:szCs w:val="32"/>
          <w:lang w:eastAsia="zh-CN"/>
        </w:rPr>
        <w:t>日常公用、人员经费、项目</w:t>
      </w:r>
      <w:r>
        <w:rPr>
          <w:rFonts w:ascii="Times New Roman" w:eastAsia="仿宋_GB2312"/>
          <w:b w:val="0"/>
          <w:sz w:val="32"/>
          <w:szCs w:val="32"/>
        </w:rPr>
        <w:t>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181.89万元，占10.6%，主要用于缴纳养老保险等支出；卫生健康（类）支出58.39万元，占3.4%，主要用于缴纳医疗保险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83.27万元，占4.9%，主要用于缴纳住房公积金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2024年度财政拨款基本支出1,482.59万元，其中：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1,359.58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123.01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本部门2024年度“三公”经费财政拨款支出预算为90.38万元，支出决算为90.24万元，完成预算的99.8%，较预算减少0.14万元，降低0.2%，主要原因是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严格控制公务用车的使用，严格控制接待标准及范围，严格控制出国经费开支</w:t>
      </w:r>
      <w:r>
        <w:rPr>
          <w:rFonts w:ascii="Times New Roman" w:eastAsia="仿宋_GB2312"/>
          <w:b w:val="0"/>
          <w:sz w:val="32"/>
          <w:szCs w:val="32"/>
        </w:rPr>
        <w:t>；较2023年度决算减少10.82万元，降低10.7%，主要原因是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严格控制公务用车的使用，严格控制接待标准及范围，严格控制出国经费开支</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本部门2024年度因公出国（境）费支出预算为74.41万元,支出决算74.41万元。完成预算的100.0%。因公出国（境）费支出较预算增加0.00万元，增长0.0%,主要原因是；较上年减少4.93万元，降低6.2%,主要原因是</w:t>
      </w:r>
      <w:r>
        <w:rPr>
          <w:rStyle w:val="13"/>
          <w:rFonts w:hint="eastAsia" w:ascii="仿宋_GB2312" w:hAnsi="仿宋_GB2312" w:eastAsia="仿宋_GB2312" w:cs="仿宋_GB2312"/>
          <w:b w:val="0"/>
          <w:bCs w:val="0"/>
          <w:sz w:val="33"/>
          <w:szCs w:val="33"/>
          <w:highlight w:val="none"/>
          <w:rtl w:val="0"/>
          <w:lang w:val="en-US" w:eastAsia="zh-CN"/>
        </w:rPr>
        <w:t>严格控制出国经费开支</w:t>
      </w:r>
      <w:r>
        <w:rPr>
          <w:rFonts w:ascii="Times New Roman" w:eastAsia="仿宋_GB2312"/>
          <w:b w:val="0"/>
          <w:sz w:val="32"/>
          <w:szCs w:val="32"/>
        </w:rPr>
        <w:t>。因公出国（境）团组7个、共15人、参加其他单位组织的因公出国（境）团组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本部门2024年度公务用车购置及运行维护费预算为4.00万元，支出决算3.86万元，完成预算的96.5%,较预算减少0.14万元，降低3.5%,主要原因是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w:t>
      </w:r>
      <w:r>
        <w:rPr>
          <w:rFonts w:ascii="Times New Roman" w:eastAsia="仿宋_GB2312"/>
          <w:b w:val="0"/>
          <w:sz w:val="32"/>
          <w:szCs w:val="32"/>
        </w:rPr>
        <w:t>；较上年减少2.90万元，降低42.9%,主要原因是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公务用车运行维护费支出3.86万元：</w:t>
      </w:r>
      <w:r>
        <w:rPr>
          <w:rFonts w:ascii="Times New Roman" w:eastAsia="仿宋_GB2312"/>
          <w:b w:val="0"/>
          <w:sz w:val="32"/>
          <w:szCs w:val="32"/>
        </w:rPr>
        <w:t>本部门2024年度单位公务用车保有量2辆，发生运行维护费支出3.86万元。公车运行维护费支出较预算减少0.14万元，降低3.5%,主要原因是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w:t>
      </w:r>
      <w:r>
        <w:rPr>
          <w:rFonts w:ascii="Times New Roman" w:eastAsia="仿宋_GB2312"/>
          <w:b w:val="0"/>
          <w:sz w:val="32"/>
          <w:szCs w:val="32"/>
        </w:rPr>
        <w:t>；较上年减少2.90万元，降低42.9%，主要原因是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本部门2024年度公务接待费支出预算为11.97万元，支出决算11.97万元，完成预算的100.0%。公务接待费支出较预算增加0.00万元，增长0.0%；较上年度减少3.00万元，降低20.0%,主要原因是</w:t>
      </w:r>
      <w:r>
        <w:rPr>
          <w:rStyle w:val="13"/>
          <w:rFonts w:hint="eastAsia" w:ascii="仿宋_GB2312" w:hAnsi="仿宋_GB2312" w:eastAsia="仿宋_GB2312" w:cs="仿宋_GB2312"/>
          <w:b w:val="0"/>
          <w:bCs w:val="0"/>
          <w:sz w:val="33"/>
          <w:szCs w:val="33"/>
          <w:highlight w:val="none"/>
          <w:rtl w:val="0"/>
          <w:lang w:val="en-US" w:eastAsia="zh-CN"/>
        </w:rPr>
        <w:t>严格控制接待标准及范围</w:t>
      </w:r>
      <w:r>
        <w:rPr>
          <w:rFonts w:ascii="Times New Roman" w:eastAsia="仿宋_GB2312"/>
          <w:b w:val="0"/>
          <w:sz w:val="32"/>
          <w:szCs w:val="32"/>
        </w:rPr>
        <w:t>。本年度共发生公务接待24批次、404人次。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pStyle w:val="10"/>
        <w:widowControl/>
        <w:spacing w:beforeAutospacing="0" w:afterAutospacing="0"/>
        <w:ind w:firstLine="640" w:firstLineChars="200"/>
        <w:rPr>
          <w:rFonts w:ascii="Times New Roman" w:eastAsia="仿宋_GB2312"/>
          <w:sz w:val="32"/>
          <w:szCs w:val="32"/>
        </w:rPr>
      </w:pPr>
      <w:r>
        <w:rPr>
          <w:rFonts w:ascii="Times New Roman" w:eastAsia="仿宋_GB2312"/>
          <w:b w:val="0"/>
          <w:sz w:val="32"/>
          <w:szCs w:val="32"/>
        </w:rPr>
        <w:t>本部门2024年度机关运行经费支出98.07万元，较2023年度增加8.78万元，增长9.8%。主要原因是</w:t>
      </w:r>
      <w:r>
        <w:rPr>
          <w:rFonts w:hint="eastAsia" w:ascii="Times New Roman" w:eastAsia="仿宋_GB2312"/>
          <w:b w:val="0"/>
          <w:sz w:val="32"/>
          <w:szCs w:val="32"/>
          <w:lang w:val="zh-CN"/>
        </w:rPr>
        <w:t>日常活动增加，</w:t>
      </w:r>
      <w:r>
        <w:rPr>
          <w:rFonts w:hint="eastAsia" w:ascii="Times New Roman" w:eastAsia="仿宋_GB2312"/>
          <w:b w:val="0"/>
          <w:sz w:val="32"/>
          <w:szCs w:val="32"/>
          <w:rtl w:val="0"/>
          <w:lang w:val="en-US" w:eastAsia="zh-CN"/>
        </w:rPr>
        <w:t>增加了机关运行成本。</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10.70万元，从采购类型来看，政府采购货物支出10.70万元、政府采购工程支出0.00万元、政府采购服务支出0.00万元。授予中小企业合同金额5.21万元，占政府采购支出总额的48.7%，其中授予小微企业合同金额3.27万元，占政府采购支出总额的30.6%。</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2辆，比上年增加0辆。其中，副部（省）级及以上领导用车0辆，主要负责人用车0辆，机要通信用车1辆，应急保障用车1辆，执法执勤用车0辆，特种专业技术用车0辆，离退休干部用车0辆，其他用车0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部门</w:t>
      </w:r>
      <w:r>
        <w:rPr>
          <w:rFonts w:ascii="Times New Roman" w:eastAsia="仿宋_GB2312"/>
          <w:b w:val="0"/>
          <w:sz w:val="32"/>
          <w:szCs w:val="32"/>
        </w:rPr>
        <w:t>位组织对2024年度本级预算项目支出全面开展绩效自评，共涉及资金</w:t>
      </w:r>
      <w:r>
        <w:rPr>
          <w:rFonts w:hint="eastAsia" w:ascii="Times New Roman" w:eastAsia="仿宋_GB2312"/>
          <w:b w:val="0"/>
          <w:sz w:val="32"/>
          <w:szCs w:val="32"/>
          <w:lang w:val="en-US" w:eastAsia="zh-CN"/>
        </w:rPr>
        <w:t>230.29</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16</w:t>
      </w:r>
      <w:r>
        <w:rPr>
          <w:rFonts w:ascii="Times New Roman" w:eastAsia="仿宋_GB2312"/>
          <w:b w:val="0"/>
          <w:sz w:val="32"/>
          <w:szCs w:val="32"/>
        </w:rPr>
        <w:t>个，涉及资金</w:t>
      </w:r>
      <w:r>
        <w:rPr>
          <w:rFonts w:hint="eastAsia" w:ascii="Times New Roman" w:eastAsia="仿宋_GB2312"/>
          <w:b w:val="0"/>
          <w:sz w:val="32"/>
          <w:szCs w:val="32"/>
          <w:lang w:val="en-US" w:eastAsia="zh-CN"/>
        </w:rPr>
        <w:t>230.29</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eastAsia="zh-CN"/>
        </w:rPr>
        <w:t>业务咨询委托</w:t>
      </w:r>
      <w:r>
        <w:rPr>
          <w:rFonts w:ascii="Times New Roman" w:eastAsia="仿宋_GB2312"/>
          <w:b w:val="0"/>
          <w:sz w:val="32"/>
          <w:szCs w:val="32"/>
        </w:rPr>
        <w:t>等</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14.83</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在今年部门决算公开中反映</w:t>
      </w:r>
      <w:r>
        <w:rPr>
          <w:rFonts w:hint="eastAsia" w:ascii="Times New Roman" w:eastAsia="仿宋_GB2312"/>
          <w:b w:val="0"/>
          <w:sz w:val="32"/>
          <w:szCs w:val="32"/>
          <w:lang w:eastAsia="zh-CN"/>
        </w:rPr>
        <w:t>业务咨询委托、办公设备购置等</w:t>
      </w:r>
      <w:r>
        <w:rPr>
          <w:rFonts w:hint="eastAsia" w:ascii="Times New Roman" w:eastAsia="仿宋_GB2312"/>
          <w:b w:val="0"/>
          <w:sz w:val="32"/>
          <w:szCs w:val="32"/>
          <w:lang w:val="en-US" w:eastAsia="zh-CN"/>
        </w:rPr>
        <w:t>10</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1.</w:t>
      </w:r>
      <w:r>
        <w:rPr>
          <w:rFonts w:hint="eastAsia" w:ascii="Times New Roman" w:eastAsia="仿宋_GB2312"/>
          <w:b w:val="0"/>
          <w:sz w:val="32"/>
          <w:szCs w:val="32"/>
          <w:lang w:eastAsia="zh-CN"/>
        </w:rPr>
        <w:t>办公设备购置经费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10.7</w:t>
      </w:r>
      <w:r>
        <w:rPr>
          <w:rFonts w:ascii="Times New Roman" w:eastAsia="仿宋_GB2312"/>
          <w:b w:val="0"/>
          <w:sz w:val="32"/>
          <w:szCs w:val="32"/>
        </w:rPr>
        <w:t>万元，执行数为</w:t>
      </w:r>
      <w:r>
        <w:rPr>
          <w:rFonts w:hint="eastAsia" w:ascii="Times New Roman" w:eastAsia="仿宋_GB2312"/>
          <w:b w:val="0"/>
          <w:sz w:val="32"/>
          <w:szCs w:val="32"/>
          <w:lang w:val="en-US" w:eastAsia="zh-CN"/>
        </w:rPr>
        <w:t>10.69</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99.97</w:t>
      </w:r>
      <w:r>
        <w:rPr>
          <w:rFonts w:ascii="Times New Roman" w:eastAsia="仿宋_GB2312"/>
          <w:b w:val="0"/>
          <w:sz w:val="32"/>
          <w:szCs w:val="32"/>
        </w:rPr>
        <w:t>%。</w:t>
      </w:r>
      <w:r>
        <w:rPr>
          <w:rFonts w:hint="eastAsia" w:ascii="Times New Roman" w:eastAsia="仿宋_GB2312"/>
          <w:b w:val="0"/>
          <w:sz w:val="32"/>
          <w:szCs w:val="32"/>
          <w:lang w:eastAsia="zh-CN"/>
        </w:rPr>
        <w:t>通过项目实施，按需保质的完成办公设备的采购工作，确保日常办公室正常开展。未发现问题。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2.</w:t>
      </w:r>
      <w:r>
        <w:rPr>
          <w:rFonts w:hint="eastAsia" w:ascii="Times New Roman" w:eastAsia="仿宋_GB2312"/>
          <w:b w:val="0"/>
          <w:sz w:val="32"/>
          <w:szCs w:val="32"/>
          <w:lang w:eastAsia="zh-CN"/>
        </w:rPr>
        <w:t>业务咨询委托经费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14.83</w:t>
      </w:r>
      <w:r>
        <w:rPr>
          <w:rFonts w:ascii="Times New Roman" w:eastAsia="仿宋_GB2312"/>
          <w:b w:val="0"/>
          <w:sz w:val="32"/>
          <w:szCs w:val="32"/>
        </w:rPr>
        <w:t>万元，执行数为</w:t>
      </w:r>
      <w:r>
        <w:rPr>
          <w:rFonts w:hint="eastAsia" w:ascii="Times New Roman" w:eastAsia="仿宋_GB2312"/>
          <w:b w:val="0"/>
          <w:sz w:val="32"/>
          <w:szCs w:val="32"/>
          <w:lang w:val="en-US" w:eastAsia="zh-CN"/>
        </w:rPr>
        <w:t>14.83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通过项目实施，经用于支付涉外案（事）件律师聘请费和咨询费，用于在友城拓建过程中的业务委托等费用。未发现问题。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3.</w:t>
      </w:r>
      <w:r>
        <w:rPr>
          <w:rFonts w:hint="eastAsia" w:ascii="Times New Roman" w:eastAsia="仿宋_GB2312"/>
          <w:b w:val="0"/>
          <w:sz w:val="32"/>
          <w:szCs w:val="32"/>
          <w:lang w:eastAsia="zh-CN"/>
        </w:rPr>
        <w:t>业务培训经费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2.24</w:t>
      </w:r>
      <w:r>
        <w:rPr>
          <w:rFonts w:ascii="Times New Roman" w:eastAsia="仿宋_GB2312"/>
          <w:b w:val="0"/>
          <w:sz w:val="32"/>
          <w:szCs w:val="32"/>
        </w:rPr>
        <w:t>万元，执行数为</w:t>
      </w:r>
      <w:r>
        <w:rPr>
          <w:rFonts w:hint="eastAsia" w:ascii="Times New Roman" w:eastAsia="仿宋_GB2312"/>
          <w:b w:val="0"/>
          <w:sz w:val="32"/>
          <w:szCs w:val="32"/>
          <w:lang w:val="en-US" w:eastAsia="zh-CN"/>
        </w:rPr>
        <w:t>2.24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通过项目实施，开展相关业务培训，提升全市外事干部对因公临时出国政策的了解和掌握程度，提高我市企业走出去安全风险的防范意识和防范能力。未发现问题。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4.</w:t>
      </w:r>
      <w:r>
        <w:rPr>
          <w:rFonts w:hint="eastAsia" w:ascii="Times New Roman" w:eastAsia="仿宋_GB2312"/>
          <w:b w:val="0"/>
          <w:sz w:val="32"/>
          <w:szCs w:val="32"/>
          <w:lang w:eastAsia="zh-CN"/>
        </w:rPr>
        <w:t>文件资料印刷经费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3.54</w:t>
      </w:r>
      <w:r>
        <w:rPr>
          <w:rFonts w:ascii="Times New Roman" w:eastAsia="仿宋_GB2312"/>
          <w:b w:val="0"/>
          <w:sz w:val="32"/>
          <w:szCs w:val="32"/>
        </w:rPr>
        <w:t>万元，执行数为</w:t>
      </w:r>
      <w:r>
        <w:rPr>
          <w:rFonts w:hint="eastAsia" w:ascii="Times New Roman" w:eastAsia="仿宋_GB2312"/>
          <w:b w:val="0"/>
          <w:sz w:val="32"/>
          <w:szCs w:val="32"/>
          <w:lang w:val="en-US" w:eastAsia="zh-CN"/>
        </w:rPr>
        <w:t>3.54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通过项目实施，印刷市情介绍材料、涉外宣传材料等，用于推广宣传我市。未发现问题。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5.</w:t>
      </w:r>
      <w:r>
        <w:rPr>
          <w:rFonts w:hint="eastAsia" w:ascii="Times New Roman" w:eastAsia="仿宋_GB2312"/>
          <w:b w:val="0"/>
          <w:sz w:val="32"/>
          <w:szCs w:val="32"/>
          <w:lang w:eastAsia="zh-CN"/>
        </w:rPr>
        <w:t>专项邮电经费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0.07</w:t>
      </w:r>
      <w:r>
        <w:rPr>
          <w:rFonts w:ascii="Times New Roman" w:eastAsia="仿宋_GB2312"/>
          <w:b w:val="0"/>
          <w:sz w:val="32"/>
          <w:szCs w:val="32"/>
        </w:rPr>
        <w:t>万元，执行数为</w:t>
      </w:r>
      <w:r>
        <w:rPr>
          <w:rFonts w:hint="eastAsia" w:ascii="Times New Roman" w:eastAsia="仿宋_GB2312"/>
          <w:b w:val="0"/>
          <w:sz w:val="32"/>
          <w:szCs w:val="32"/>
          <w:lang w:val="en-US" w:eastAsia="zh-CN"/>
        </w:rPr>
        <w:t>0.07</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通过项目实施，向友城寄送有关纸质材料原件、市情资料等，进一步加深国外对我市的了解，提高我市在外知名度。未发现问题。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6.</w:t>
      </w:r>
      <w:r>
        <w:rPr>
          <w:rFonts w:hint="eastAsia" w:ascii="Times New Roman" w:eastAsia="仿宋_GB2312"/>
          <w:b w:val="0"/>
          <w:sz w:val="32"/>
          <w:szCs w:val="32"/>
          <w:lang w:eastAsia="zh-CN"/>
        </w:rPr>
        <w:t>新版护照和通行证系统设备购买经费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w:t>
      </w:r>
      <w:r>
        <w:rPr>
          <w:rFonts w:ascii="Times New Roman" w:eastAsia="仿宋_GB2312"/>
          <w:b w:val="0"/>
          <w:sz w:val="32"/>
          <w:szCs w:val="32"/>
        </w:rPr>
        <w:t>万元，执行数为</w:t>
      </w:r>
      <w:r>
        <w:rPr>
          <w:rFonts w:hint="eastAsia" w:ascii="Times New Roman" w:eastAsia="仿宋_GB2312"/>
          <w:b w:val="0"/>
          <w:sz w:val="32"/>
          <w:szCs w:val="32"/>
          <w:lang w:val="en-US" w:eastAsia="zh-CN"/>
        </w:rPr>
        <w:t>12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通过项目实施，购买生物特征采集一体机，实现了与省外办护照、签证系统匹配、升级等功能，确保工作正常开展。未发现问题。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7.石家庄市</w:t>
      </w:r>
      <w:r>
        <w:rPr>
          <w:rFonts w:hint="eastAsia" w:ascii="Times New Roman" w:eastAsia="仿宋_GB2312"/>
          <w:b w:val="0"/>
          <w:sz w:val="32"/>
          <w:szCs w:val="32"/>
          <w:lang w:eastAsia="zh-CN"/>
        </w:rPr>
        <w:t>友好演出代表团出访韩国</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0.59</w:t>
      </w:r>
      <w:r>
        <w:rPr>
          <w:rFonts w:ascii="Times New Roman" w:eastAsia="仿宋_GB2312"/>
          <w:b w:val="0"/>
          <w:sz w:val="32"/>
          <w:szCs w:val="32"/>
        </w:rPr>
        <w:t>万元，执行数为</w:t>
      </w:r>
      <w:r>
        <w:rPr>
          <w:rFonts w:hint="eastAsia" w:ascii="Times New Roman" w:eastAsia="仿宋_GB2312"/>
          <w:b w:val="0"/>
          <w:sz w:val="32"/>
          <w:szCs w:val="32"/>
          <w:lang w:val="en-US" w:eastAsia="zh-CN"/>
        </w:rPr>
        <w:t>0.59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通过项目实施，市友好演出代表团出访韩国，推动我市加深了与韩国的交流沟通，</w:t>
      </w:r>
      <w:r>
        <w:rPr>
          <w:rFonts w:hint="eastAsia" w:ascii="仿宋_GB2312" w:hAnsi="宋体" w:eastAsia="仿宋_GB2312" w:cs="宋体"/>
          <w:b w:val="0"/>
          <w:bCs w:val="0"/>
          <w:color w:val="000000"/>
          <w:kern w:val="2"/>
          <w:sz w:val="32"/>
          <w:szCs w:val="32"/>
          <w:lang w:val="en-US" w:eastAsia="zh-CN" w:bidi="ar-SA"/>
        </w:rPr>
        <w:t>充分展示了我市文化艺术实力</w:t>
      </w:r>
      <w:r>
        <w:rPr>
          <w:rFonts w:hint="eastAsia" w:ascii="Times New Roman" w:eastAsia="仿宋_GB2312"/>
          <w:b w:val="0"/>
          <w:sz w:val="32"/>
          <w:szCs w:val="32"/>
          <w:lang w:eastAsia="zh-CN"/>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8.党组织活动经费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4.14</w:t>
      </w:r>
      <w:r>
        <w:rPr>
          <w:rFonts w:ascii="Times New Roman" w:eastAsia="仿宋_GB2312"/>
          <w:b w:val="0"/>
          <w:sz w:val="32"/>
          <w:szCs w:val="32"/>
        </w:rPr>
        <w:t>万元，执行数为</w:t>
      </w:r>
      <w:r>
        <w:rPr>
          <w:rFonts w:hint="eastAsia" w:ascii="Times New Roman" w:eastAsia="仿宋_GB2312"/>
          <w:b w:val="0"/>
          <w:sz w:val="32"/>
          <w:szCs w:val="32"/>
          <w:lang w:val="en-US" w:eastAsia="zh-CN"/>
        </w:rPr>
        <w:t>4.14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通过项目实施，确保党组织活动正常开展，开展党员教育实践活动、主题教育活动，不断提升我办党员服务、宗旨和意识。未发现问题。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9.外事活动经费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97</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76.79</w:t>
      </w:r>
      <w:r>
        <w:rPr>
          <w:rFonts w:ascii="Times New Roman" w:eastAsia="仿宋_GB2312"/>
          <w:b w:val="0"/>
          <w:sz w:val="32"/>
          <w:szCs w:val="32"/>
        </w:rPr>
        <w:t>万元，执行数为</w:t>
      </w:r>
      <w:r>
        <w:rPr>
          <w:rFonts w:hint="eastAsia" w:ascii="Times New Roman" w:eastAsia="仿宋_GB2312"/>
          <w:b w:val="0"/>
          <w:sz w:val="32"/>
          <w:szCs w:val="32"/>
          <w:lang w:val="en-US" w:eastAsia="zh-CN"/>
        </w:rPr>
        <w:t>67.16</w:t>
      </w:r>
      <w:r>
        <w:rPr>
          <w:rFonts w:ascii="Times New Roman" w:eastAsia="仿宋_GB2312"/>
          <w:b w:val="0"/>
          <w:sz w:val="32"/>
          <w:szCs w:val="32"/>
        </w:rPr>
        <w:t>万元，完成预算的</w:t>
      </w:r>
      <w:r>
        <w:rPr>
          <w:rFonts w:hint="eastAsia" w:ascii="Times New Roman" w:eastAsia="仿宋_GB2312"/>
          <w:b w:val="0"/>
          <w:sz w:val="32"/>
          <w:szCs w:val="32"/>
          <w:lang w:val="en-US" w:eastAsia="zh-CN"/>
        </w:rPr>
        <w:t>87.47</w:t>
      </w:r>
      <w:r>
        <w:rPr>
          <w:rFonts w:ascii="Times New Roman" w:eastAsia="仿宋_GB2312"/>
          <w:b w:val="0"/>
          <w:sz w:val="32"/>
          <w:szCs w:val="32"/>
        </w:rPr>
        <w:t>%。</w:t>
      </w:r>
      <w:r>
        <w:rPr>
          <w:rFonts w:hint="eastAsia" w:ascii="Times New Roman" w:eastAsia="仿宋_GB2312"/>
          <w:b w:val="0"/>
          <w:sz w:val="32"/>
          <w:szCs w:val="32"/>
          <w:lang w:eastAsia="zh-CN"/>
        </w:rPr>
        <w:t>通过项目实施，接待外国友好组织和团体、民间友好人士来访，支持我市友好代表团出访等活动。加强了全市多领域对外交流，增进了解，推动务实合作。未发现问题。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10.石家庄市友好代表团出访印度尼西亚</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5.06</w:t>
      </w:r>
      <w:r>
        <w:rPr>
          <w:rFonts w:ascii="Times New Roman" w:eastAsia="仿宋_GB2312"/>
          <w:b w:val="0"/>
          <w:sz w:val="32"/>
          <w:szCs w:val="32"/>
        </w:rPr>
        <w:t>万元，执行数为</w:t>
      </w:r>
      <w:r>
        <w:rPr>
          <w:rFonts w:hint="eastAsia" w:ascii="Times New Roman" w:eastAsia="仿宋_GB2312"/>
          <w:b w:val="0"/>
          <w:sz w:val="32"/>
          <w:szCs w:val="32"/>
          <w:lang w:val="en-US" w:eastAsia="zh-CN"/>
        </w:rPr>
        <w:t>5.06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通过项目实施，顺利完成赴印度尼西亚参加世界城市和地方政府联合组织亚太区执行局第一次会议，推动了我市通过多领域开展对外交流合作。未发现问题。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22" w:firstLineChars="200"/>
        <w:jc w:val="left"/>
        <w:rPr>
          <w:rFonts w:hint="eastAsia" w:ascii="仿宋_GB2312" w:hAnsi="仿宋_GB2312" w:eastAsia="仿宋_GB2312" w:cs="仿宋_GB2312"/>
          <w:b/>
          <w:bCs/>
          <w:color w:val="000000"/>
          <w:sz w:val="31"/>
          <w:szCs w:val="31"/>
          <w:lang w:eastAsia="zh-CN"/>
        </w:rPr>
      </w:pPr>
      <w:r>
        <w:rPr>
          <w:rFonts w:ascii="仿宋_GB2312" w:hAnsi="仿宋_GB2312" w:eastAsia="仿宋_GB2312" w:cs="仿宋_GB2312"/>
          <w:b/>
          <w:bCs/>
          <w:color w:val="000000"/>
          <w:sz w:val="31"/>
          <w:szCs w:val="31"/>
        </w:rPr>
        <w:t>附绩效自评表如下</w:t>
      </w:r>
      <w:r>
        <w:rPr>
          <w:rFonts w:hint="eastAsia" w:ascii="仿宋_GB2312" w:hAnsi="仿宋_GB2312" w:eastAsia="仿宋_GB2312" w:cs="仿宋_GB2312"/>
          <w:b/>
          <w:bCs/>
          <w:color w:val="000000"/>
          <w:sz w:val="31"/>
          <w:szCs w:val="31"/>
          <w:lang w:eastAsia="zh-CN"/>
        </w:rPr>
        <w:t>：</w:t>
      </w:r>
    </w:p>
    <w:p>
      <w:pPr>
        <w:widowControl/>
        <w:spacing w:before="0" w:beforeLines="0" w:beforeAutospacing="0" w:after="0" w:afterLines="0" w:afterAutospacing="0" w:line="360" w:lineRule="auto"/>
        <w:jc w:val="left"/>
        <w:rPr>
          <w:rFonts w:hint="eastAsia" w:eastAsia="仿宋_GB2312"/>
          <w:lang w:eastAsia="zh-CN"/>
        </w:rPr>
      </w:pPr>
      <w:r>
        <w:rPr>
          <w:rFonts w:hint="eastAsia" w:ascii="Times New Roman" w:eastAsia="仿宋_GB2312"/>
          <w:b w:val="0"/>
          <w:sz w:val="32"/>
          <w:szCs w:val="32"/>
          <w:lang w:val="en-US" w:eastAsia="zh-CN"/>
        </w:rPr>
        <w:t>1.</w:t>
      </w:r>
      <w:r>
        <w:rPr>
          <w:rFonts w:hint="eastAsia" w:ascii="Times New Roman" w:eastAsia="仿宋_GB2312"/>
          <w:b w:val="0"/>
          <w:sz w:val="32"/>
          <w:szCs w:val="32"/>
          <w:lang w:eastAsia="zh-CN"/>
        </w:rPr>
        <w:t>办公设备购置经费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480" w:firstLineChars="200"/>
        <w:jc w:val="left"/>
        <w:rPr>
          <w:rFonts w:hint="eastAsia"/>
          <w:lang w:eastAsia="zh-CN"/>
        </w:rPr>
      </w:pPr>
      <w:r>
        <w:drawing>
          <wp:inline distT="0" distB="0" distL="114300" distR="114300">
            <wp:extent cx="5757545" cy="6275070"/>
            <wp:effectExtent l="0" t="0" r="14605" b="1143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17"/>
                    <a:stretch>
                      <a:fillRect/>
                    </a:stretch>
                  </pic:blipFill>
                  <pic:spPr>
                    <a:xfrm>
                      <a:off x="0" y="0"/>
                      <a:ext cx="5757545" cy="627507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numPr>
          <w:ilvl w:val="0"/>
          <w:numId w:val="2"/>
        </w:numPr>
        <w:spacing w:before="0" w:beforeLines="0" w:beforeAutospacing="0" w:after="0" w:afterLines="0" w:afterAutospacing="0" w:line="360" w:lineRule="auto"/>
        <w:ind w:left="240" w:leftChars="0" w:firstLineChars="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业务咨询委托经费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ilvl w:val="0"/>
          <w:numId w:val="0"/>
        </w:numPr>
        <w:spacing w:before="0" w:beforeLines="0" w:beforeAutospacing="0" w:after="0" w:afterLines="0" w:afterAutospacing="0" w:line="360" w:lineRule="auto"/>
        <w:jc w:val="left"/>
      </w:pPr>
      <w:r>
        <w:drawing>
          <wp:inline distT="0" distB="0" distL="114300" distR="114300">
            <wp:extent cx="5755640" cy="7357110"/>
            <wp:effectExtent l="0" t="0" r="16510" b="1524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8"/>
                    <a:stretch>
                      <a:fillRect/>
                    </a:stretch>
                  </pic:blipFill>
                  <pic:spPr>
                    <a:xfrm>
                      <a:off x="0" y="0"/>
                      <a:ext cx="5755640" cy="7357110"/>
                    </a:xfrm>
                    <a:prstGeom prst="rect">
                      <a:avLst/>
                    </a:prstGeom>
                    <a:noFill/>
                    <a:ln>
                      <a:noFill/>
                    </a:ln>
                  </pic:spPr>
                </pic:pic>
              </a:graphicData>
            </a:graphic>
          </wp:inline>
        </w:drawing>
      </w:r>
    </w:p>
    <w:p>
      <w:pPr>
        <w:widowControl/>
        <w:numPr>
          <w:ilvl w:val="0"/>
          <w:numId w:val="2"/>
        </w:numPr>
        <w:spacing w:before="0" w:beforeLines="0" w:beforeAutospacing="0" w:after="0" w:afterLines="0" w:afterAutospacing="0" w:line="360" w:lineRule="auto"/>
        <w:ind w:left="240" w:leftChars="0" w:firstLine="0" w:firstLineChars="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业务培训经费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ilvl w:val="0"/>
          <w:numId w:val="0"/>
        </w:numPr>
        <w:spacing w:before="0" w:beforeLines="0" w:beforeAutospacing="0" w:after="0" w:afterLines="0" w:afterAutospacing="0" w:line="360" w:lineRule="auto"/>
        <w:ind w:leftChars="0"/>
        <w:jc w:val="left"/>
      </w:pPr>
      <w:r>
        <w:drawing>
          <wp:inline distT="0" distB="0" distL="114300" distR="114300">
            <wp:extent cx="5629275" cy="7467600"/>
            <wp:effectExtent l="0" t="0" r="9525" b="0"/>
            <wp:docPr id="1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
                    <pic:cNvPicPr>
                      <a:picLocks noChangeAspect="1"/>
                    </pic:cNvPicPr>
                  </pic:nvPicPr>
                  <pic:blipFill>
                    <a:blip r:embed="rId19"/>
                    <a:stretch>
                      <a:fillRect/>
                    </a:stretch>
                  </pic:blipFill>
                  <pic:spPr>
                    <a:xfrm>
                      <a:off x="0" y="0"/>
                      <a:ext cx="5629275" cy="7467600"/>
                    </a:xfrm>
                    <a:prstGeom prst="rect">
                      <a:avLst/>
                    </a:prstGeom>
                    <a:noFill/>
                    <a:ln>
                      <a:noFill/>
                    </a:ln>
                  </pic:spPr>
                </pic:pic>
              </a:graphicData>
            </a:graphic>
          </wp:inline>
        </w:drawing>
      </w:r>
    </w:p>
    <w:p>
      <w:pPr>
        <w:widowControl/>
        <w:numPr>
          <w:ilvl w:val="0"/>
          <w:numId w:val="2"/>
        </w:numPr>
        <w:spacing w:before="0" w:beforeLines="0" w:beforeAutospacing="0" w:after="0" w:afterLines="0" w:afterAutospacing="0" w:line="360" w:lineRule="auto"/>
        <w:ind w:left="240" w:leftChars="0" w:firstLine="0" w:firstLineChars="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文件资料印刷经费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ilvl w:val="0"/>
          <w:numId w:val="0"/>
        </w:numPr>
        <w:spacing w:before="0" w:beforeLines="0" w:beforeAutospacing="0" w:after="0" w:afterLines="0" w:afterAutospacing="0" w:line="360" w:lineRule="auto"/>
        <w:ind w:leftChars="0"/>
        <w:jc w:val="left"/>
      </w:pPr>
      <w:r>
        <w:drawing>
          <wp:inline distT="0" distB="0" distL="114300" distR="114300">
            <wp:extent cx="5756275" cy="6278245"/>
            <wp:effectExtent l="0" t="0" r="15875" b="8255"/>
            <wp:docPr id="1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8"/>
                    <pic:cNvPicPr>
                      <a:picLocks noChangeAspect="1"/>
                    </pic:cNvPicPr>
                  </pic:nvPicPr>
                  <pic:blipFill>
                    <a:blip r:embed="rId20"/>
                    <a:stretch>
                      <a:fillRect/>
                    </a:stretch>
                  </pic:blipFill>
                  <pic:spPr>
                    <a:xfrm>
                      <a:off x="0" y="0"/>
                      <a:ext cx="5756275" cy="6278245"/>
                    </a:xfrm>
                    <a:prstGeom prst="rect">
                      <a:avLst/>
                    </a:prstGeom>
                    <a:noFill/>
                    <a:ln>
                      <a:noFill/>
                    </a:ln>
                  </pic:spPr>
                </pic:pic>
              </a:graphicData>
            </a:graphic>
          </wp:inline>
        </w:drawing>
      </w:r>
    </w:p>
    <w:p>
      <w:pPr>
        <w:widowControl/>
        <w:numPr>
          <w:ilvl w:val="0"/>
          <w:numId w:val="0"/>
        </w:numPr>
        <w:spacing w:before="0" w:beforeLines="0" w:beforeAutospacing="0" w:after="0" w:afterLines="0" w:afterAutospacing="0" w:line="360" w:lineRule="auto"/>
        <w:ind w:leftChars="0"/>
        <w:jc w:val="left"/>
      </w:pPr>
    </w:p>
    <w:p>
      <w:pPr>
        <w:widowControl/>
        <w:numPr>
          <w:ilvl w:val="0"/>
          <w:numId w:val="0"/>
        </w:numPr>
        <w:spacing w:before="0" w:beforeLines="0" w:beforeAutospacing="0" w:after="0" w:afterLines="0" w:afterAutospacing="0" w:line="360" w:lineRule="auto"/>
        <w:ind w:leftChars="0"/>
        <w:jc w:val="left"/>
      </w:pPr>
    </w:p>
    <w:p>
      <w:pPr>
        <w:widowControl/>
        <w:numPr>
          <w:ilvl w:val="0"/>
          <w:numId w:val="0"/>
        </w:numPr>
        <w:spacing w:before="0" w:beforeLines="0" w:beforeAutospacing="0" w:after="0" w:afterLines="0" w:afterAutospacing="0" w:line="360" w:lineRule="auto"/>
        <w:ind w:leftChars="0"/>
        <w:jc w:val="left"/>
      </w:pPr>
    </w:p>
    <w:p>
      <w:pPr>
        <w:widowControl/>
        <w:numPr>
          <w:ilvl w:val="0"/>
          <w:numId w:val="2"/>
        </w:numPr>
        <w:spacing w:before="0" w:beforeLines="0" w:beforeAutospacing="0" w:after="0" w:afterLines="0" w:afterAutospacing="0" w:line="360" w:lineRule="auto"/>
        <w:ind w:left="240" w:leftChars="0" w:firstLine="0" w:firstLineChars="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专项邮电经费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ilvl w:val="0"/>
          <w:numId w:val="0"/>
        </w:numPr>
        <w:spacing w:before="0" w:beforeLines="0" w:beforeAutospacing="0" w:after="0" w:afterLines="0" w:afterAutospacing="0" w:line="360" w:lineRule="auto"/>
        <w:ind w:leftChars="0"/>
        <w:jc w:val="left"/>
      </w:pPr>
      <w:r>
        <w:drawing>
          <wp:inline distT="0" distB="0" distL="114300" distR="114300">
            <wp:extent cx="5756275" cy="6253480"/>
            <wp:effectExtent l="0" t="0" r="15875" b="13970"/>
            <wp:docPr id="1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
                    <pic:cNvPicPr>
                      <a:picLocks noChangeAspect="1"/>
                    </pic:cNvPicPr>
                  </pic:nvPicPr>
                  <pic:blipFill>
                    <a:blip r:embed="rId21"/>
                    <a:stretch>
                      <a:fillRect/>
                    </a:stretch>
                  </pic:blipFill>
                  <pic:spPr>
                    <a:xfrm>
                      <a:off x="0" y="0"/>
                      <a:ext cx="5756275" cy="6253480"/>
                    </a:xfrm>
                    <a:prstGeom prst="rect">
                      <a:avLst/>
                    </a:prstGeom>
                    <a:noFill/>
                    <a:ln>
                      <a:noFill/>
                    </a:ln>
                  </pic:spPr>
                </pic:pic>
              </a:graphicData>
            </a:graphic>
          </wp:inline>
        </w:drawing>
      </w:r>
    </w:p>
    <w:p>
      <w:pPr>
        <w:widowControl/>
        <w:numPr>
          <w:ilvl w:val="0"/>
          <w:numId w:val="0"/>
        </w:numPr>
        <w:spacing w:before="0" w:beforeLines="0" w:beforeAutospacing="0" w:after="0" w:afterLines="0" w:afterAutospacing="0" w:line="360" w:lineRule="auto"/>
        <w:ind w:leftChars="0"/>
        <w:jc w:val="left"/>
      </w:pPr>
    </w:p>
    <w:p>
      <w:pPr>
        <w:widowControl/>
        <w:numPr>
          <w:ilvl w:val="0"/>
          <w:numId w:val="0"/>
        </w:numPr>
        <w:spacing w:before="0" w:beforeLines="0" w:beforeAutospacing="0" w:after="0" w:afterLines="0" w:afterAutospacing="0" w:line="360" w:lineRule="auto"/>
        <w:ind w:leftChars="0"/>
        <w:jc w:val="left"/>
      </w:pPr>
    </w:p>
    <w:p>
      <w:pPr>
        <w:widowControl/>
        <w:numPr>
          <w:ilvl w:val="0"/>
          <w:numId w:val="0"/>
        </w:numPr>
        <w:spacing w:before="0" w:beforeLines="0" w:beforeAutospacing="0" w:after="0" w:afterLines="0" w:afterAutospacing="0" w:line="360" w:lineRule="auto"/>
        <w:ind w:leftChars="0"/>
        <w:jc w:val="left"/>
      </w:pPr>
    </w:p>
    <w:p>
      <w:pPr>
        <w:widowControl/>
        <w:numPr>
          <w:ilvl w:val="0"/>
          <w:numId w:val="0"/>
        </w:numPr>
        <w:spacing w:before="0" w:beforeLines="0" w:beforeAutospacing="0" w:after="0" w:afterLines="0" w:afterAutospacing="0" w:line="360" w:lineRule="auto"/>
        <w:ind w:leftChars="0"/>
        <w:jc w:val="left"/>
      </w:pPr>
    </w:p>
    <w:p>
      <w:pPr>
        <w:widowControl/>
        <w:numPr>
          <w:ilvl w:val="0"/>
          <w:numId w:val="0"/>
        </w:numPr>
        <w:spacing w:before="0" w:beforeLines="0" w:beforeAutospacing="0" w:after="0" w:afterLines="0" w:afterAutospacing="0" w:line="360" w:lineRule="auto"/>
        <w:ind w:leftChars="0"/>
        <w:jc w:val="left"/>
        <w:rPr>
          <w:rFonts w:hint="eastAsia" w:eastAsia="仿宋_GB2312"/>
          <w:lang w:eastAsia="zh-CN"/>
        </w:rPr>
      </w:pPr>
      <w:r>
        <w:rPr>
          <w:rFonts w:hint="eastAsia" w:ascii="Times New Roman" w:eastAsia="仿宋_GB2312"/>
          <w:b w:val="0"/>
          <w:sz w:val="32"/>
          <w:szCs w:val="32"/>
          <w:lang w:val="en-US" w:eastAsia="zh-CN"/>
        </w:rPr>
        <w:t>6.</w:t>
      </w:r>
      <w:r>
        <w:rPr>
          <w:rFonts w:hint="eastAsia" w:ascii="Times New Roman" w:eastAsia="仿宋_GB2312"/>
          <w:b w:val="0"/>
          <w:sz w:val="32"/>
          <w:szCs w:val="32"/>
          <w:lang w:eastAsia="zh-CN"/>
        </w:rPr>
        <w:t>新版护照和通行证系统设备购买经费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480" w:firstLineChars="200"/>
        <w:jc w:val="left"/>
      </w:pPr>
      <w:r>
        <w:drawing>
          <wp:inline distT="0" distB="0" distL="114300" distR="114300">
            <wp:extent cx="5760085" cy="6555740"/>
            <wp:effectExtent l="0" t="0" r="12065" b="16510"/>
            <wp:docPr id="1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
                    <pic:cNvPicPr>
                      <a:picLocks noChangeAspect="1"/>
                    </pic:cNvPicPr>
                  </pic:nvPicPr>
                  <pic:blipFill>
                    <a:blip r:embed="rId22"/>
                    <a:stretch>
                      <a:fillRect/>
                    </a:stretch>
                  </pic:blipFill>
                  <pic:spPr>
                    <a:xfrm>
                      <a:off x="0" y="0"/>
                      <a:ext cx="5760085" cy="655574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p>
    <w:p>
      <w:pPr>
        <w:widowControl/>
        <w:numPr>
          <w:ilvl w:val="0"/>
          <w:numId w:val="0"/>
        </w:numPr>
        <w:spacing w:before="0" w:beforeLines="0" w:beforeAutospacing="0" w:after="0" w:afterLines="0" w:afterAutospacing="0" w:line="360" w:lineRule="auto"/>
        <w:ind w:left="240" w:leftChars="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7.石家庄市</w:t>
      </w:r>
      <w:r>
        <w:rPr>
          <w:rFonts w:hint="eastAsia" w:ascii="Times New Roman" w:eastAsia="仿宋_GB2312"/>
          <w:b w:val="0"/>
          <w:sz w:val="32"/>
          <w:szCs w:val="32"/>
          <w:lang w:eastAsia="zh-CN"/>
        </w:rPr>
        <w:t>友好演出代表团出访韩国</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ilvl w:val="0"/>
          <w:numId w:val="0"/>
        </w:numPr>
        <w:spacing w:before="0" w:beforeLines="0" w:beforeAutospacing="0" w:after="0" w:afterLines="0" w:afterAutospacing="0" w:line="360" w:lineRule="auto"/>
        <w:ind w:left="240" w:leftChars="0"/>
        <w:jc w:val="left"/>
      </w:pPr>
      <w:r>
        <w:drawing>
          <wp:inline distT="0" distB="0" distL="114300" distR="114300">
            <wp:extent cx="5760085" cy="6553835"/>
            <wp:effectExtent l="0" t="0" r="12065" b="18415"/>
            <wp:docPr id="1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1"/>
                    <pic:cNvPicPr>
                      <a:picLocks noChangeAspect="1"/>
                    </pic:cNvPicPr>
                  </pic:nvPicPr>
                  <pic:blipFill>
                    <a:blip r:embed="rId23"/>
                    <a:stretch>
                      <a:fillRect/>
                    </a:stretch>
                  </pic:blipFill>
                  <pic:spPr>
                    <a:xfrm>
                      <a:off x="0" y="0"/>
                      <a:ext cx="5760085" cy="6553835"/>
                    </a:xfrm>
                    <a:prstGeom prst="rect">
                      <a:avLst/>
                    </a:prstGeom>
                    <a:noFill/>
                    <a:ln>
                      <a:noFill/>
                    </a:ln>
                  </pic:spPr>
                </pic:pic>
              </a:graphicData>
            </a:graphic>
          </wp:inline>
        </w:drawing>
      </w:r>
    </w:p>
    <w:p>
      <w:pPr>
        <w:widowControl/>
        <w:numPr>
          <w:ilvl w:val="0"/>
          <w:numId w:val="0"/>
        </w:numPr>
        <w:spacing w:before="0" w:beforeLines="0" w:beforeAutospacing="0" w:after="0" w:afterLines="0" w:afterAutospacing="0" w:line="360" w:lineRule="auto"/>
        <w:ind w:left="240" w:leftChars="0"/>
        <w:jc w:val="left"/>
      </w:pPr>
    </w:p>
    <w:p>
      <w:pPr>
        <w:widowControl/>
        <w:numPr>
          <w:ilvl w:val="0"/>
          <w:numId w:val="0"/>
        </w:numPr>
        <w:spacing w:before="0" w:beforeLines="0" w:beforeAutospacing="0" w:after="0" w:afterLines="0" w:afterAutospacing="0" w:line="360" w:lineRule="auto"/>
        <w:ind w:left="240" w:leftChars="0"/>
        <w:jc w:val="left"/>
      </w:pPr>
    </w:p>
    <w:p>
      <w:pPr>
        <w:widowControl/>
        <w:numPr>
          <w:ilvl w:val="0"/>
          <w:numId w:val="0"/>
        </w:numPr>
        <w:spacing w:before="0" w:beforeLines="0" w:beforeAutospacing="0" w:after="0" w:afterLines="0" w:afterAutospacing="0" w:line="360" w:lineRule="auto"/>
        <w:ind w:left="240" w:leftChars="0"/>
        <w:jc w:val="left"/>
      </w:pPr>
    </w:p>
    <w:p>
      <w:pPr>
        <w:widowControl/>
        <w:numPr>
          <w:ilvl w:val="0"/>
          <w:numId w:val="3"/>
        </w:numPr>
        <w:spacing w:before="0" w:beforeLines="0" w:beforeAutospacing="0" w:after="0" w:afterLines="0" w:afterAutospacing="0" w:line="360" w:lineRule="auto"/>
        <w:ind w:left="240" w:leftChars="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党组织活动经费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ilvl w:val="0"/>
          <w:numId w:val="0"/>
        </w:numPr>
        <w:spacing w:before="0" w:beforeLines="0" w:beforeAutospacing="0" w:after="0" w:afterLines="0" w:afterAutospacing="0" w:line="360" w:lineRule="auto"/>
        <w:jc w:val="left"/>
      </w:pPr>
      <w:r>
        <w:drawing>
          <wp:inline distT="0" distB="0" distL="114300" distR="114300">
            <wp:extent cx="5760085" cy="6512560"/>
            <wp:effectExtent l="0" t="0" r="12065" b="2540"/>
            <wp:docPr id="2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2"/>
                    <pic:cNvPicPr>
                      <a:picLocks noChangeAspect="1"/>
                    </pic:cNvPicPr>
                  </pic:nvPicPr>
                  <pic:blipFill>
                    <a:blip r:embed="rId24"/>
                    <a:stretch>
                      <a:fillRect/>
                    </a:stretch>
                  </pic:blipFill>
                  <pic:spPr>
                    <a:xfrm>
                      <a:off x="0" y="0"/>
                      <a:ext cx="5760085" cy="6512560"/>
                    </a:xfrm>
                    <a:prstGeom prst="rect">
                      <a:avLst/>
                    </a:prstGeom>
                    <a:noFill/>
                    <a:ln>
                      <a:noFill/>
                    </a:ln>
                  </pic:spPr>
                </pic:pic>
              </a:graphicData>
            </a:graphic>
          </wp:inline>
        </w:drawing>
      </w:r>
    </w:p>
    <w:p>
      <w:pPr>
        <w:widowControl/>
        <w:numPr>
          <w:ilvl w:val="0"/>
          <w:numId w:val="0"/>
        </w:numPr>
        <w:spacing w:before="0" w:beforeLines="0" w:beforeAutospacing="0" w:after="0" w:afterLines="0" w:afterAutospacing="0" w:line="360" w:lineRule="auto"/>
        <w:jc w:val="left"/>
      </w:pPr>
    </w:p>
    <w:p>
      <w:pPr>
        <w:widowControl/>
        <w:numPr>
          <w:ilvl w:val="0"/>
          <w:numId w:val="0"/>
        </w:numPr>
        <w:spacing w:before="0" w:beforeLines="0" w:beforeAutospacing="0" w:after="0" w:afterLines="0" w:afterAutospacing="0" w:line="360" w:lineRule="auto"/>
        <w:jc w:val="left"/>
      </w:pPr>
    </w:p>
    <w:p>
      <w:pPr>
        <w:widowControl/>
        <w:numPr>
          <w:ilvl w:val="0"/>
          <w:numId w:val="0"/>
        </w:numPr>
        <w:spacing w:before="0" w:beforeLines="0" w:beforeAutospacing="0" w:after="0" w:afterLines="0" w:afterAutospacing="0" w:line="360" w:lineRule="auto"/>
        <w:jc w:val="left"/>
      </w:pPr>
    </w:p>
    <w:p>
      <w:pPr>
        <w:widowControl/>
        <w:numPr>
          <w:ilvl w:val="0"/>
          <w:numId w:val="3"/>
        </w:numPr>
        <w:spacing w:before="0" w:beforeLines="0" w:beforeAutospacing="0" w:after="0" w:afterLines="0" w:afterAutospacing="0" w:line="360" w:lineRule="auto"/>
        <w:ind w:left="240" w:leftChars="0" w:firstLine="0" w:firstLineChars="0"/>
        <w:jc w:val="left"/>
      </w:pPr>
      <w:r>
        <w:rPr>
          <w:rFonts w:hint="eastAsia" w:ascii="Times New Roman" w:eastAsia="仿宋_GB2312"/>
          <w:b w:val="0"/>
          <w:sz w:val="32"/>
          <w:szCs w:val="32"/>
          <w:lang w:val="en-US" w:eastAsia="zh-CN"/>
        </w:rPr>
        <w:t>外事活动经费</w:t>
      </w:r>
      <w:r>
        <w:rPr>
          <w:rFonts w:ascii="Times New Roman" w:eastAsia="仿宋_GB2312"/>
          <w:b w:val="0"/>
          <w:sz w:val="32"/>
          <w:szCs w:val="32"/>
        </w:rPr>
        <w:t>项目</w:t>
      </w:r>
      <w:r>
        <w:rPr>
          <w:rFonts w:hint="eastAsia" w:ascii="Times New Roman" w:eastAsia="仿宋_GB2312"/>
          <w:b w:val="0"/>
          <w:sz w:val="32"/>
          <w:szCs w:val="32"/>
          <w:lang w:eastAsia="zh-CN"/>
        </w:rPr>
        <w:t>：</w:t>
      </w:r>
      <w:r>
        <w:drawing>
          <wp:inline distT="0" distB="0" distL="114300" distR="114300">
            <wp:extent cx="5756910" cy="6978650"/>
            <wp:effectExtent l="0" t="0" r="15240" b="12700"/>
            <wp:docPr id="2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3"/>
                    <pic:cNvPicPr>
                      <a:picLocks noChangeAspect="1"/>
                    </pic:cNvPicPr>
                  </pic:nvPicPr>
                  <pic:blipFill>
                    <a:blip r:embed="rId25"/>
                    <a:stretch>
                      <a:fillRect/>
                    </a:stretch>
                  </pic:blipFill>
                  <pic:spPr>
                    <a:xfrm>
                      <a:off x="0" y="0"/>
                      <a:ext cx="5756910" cy="6978650"/>
                    </a:xfrm>
                    <a:prstGeom prst="rect">
                      <a:avLst/>
                    </a:prstGeom>
                    <a:noFill/>
                    <a:ln>
                      <a:noFill/>
                    </a:ln>
                  </pic:spPr>
                </pic:pic>
              </a:graphicData>
            </a:graphic>
          </wp:inline>
        </w:drawing>
      </w:r>
    </w:p>
    <w:p>
      <w:pPr>
        <w:widowControl/>
        <w:numPr>
          <w:ilvl w:val="0"/>
          <w:numId w:val="0"/>
        </w:numPr>
        <w:spacing w:before="0" w:beforeLines="0" w:beforeAutospacing="0" w:after="0" w:afterLines="0" w:afterAutospacing="0" w:line="360" w:lineRule="auto"/>
        <w:ind w:left="240" w:leftChars="0"/>
        <w:jc w:val="left"/>
        <w:rPr>
          <w:rFonts w:hint="eastAsia"/>
          <w:lang w:eastAsia="zh-CN"/>
        </w:rPr>
      </w:pPr>
    </w:p>
    <w:p>
      <w:pPr>
        <w:widowControl/>
        <w:numPr>
          <w:ilvl w:val="0"/>
          <w:numId w:val="0"/>
        </w:numPr>
        <w:spacing w:before="0" w:beforeLines="0" w:beforeAutospacing="0" w:after="0" w:afterLines="0" w:afterAutospacing="0" w:line="360" w:lineRule="auto"/>
        <w:ind w:left="240" w:leftChars="0"/>
        <w:jc w:val="left"/>
        <w:rPr>
          <w:rFonts w:hint="eastAsia" w:eastAsia="仿宋_GB2312"/>
          <w:lang w:val="en-US" w:eastAsia="zh-CN"/>
        </w:rPr>
      </w:pPr>
      <w:r>
        <w:rPr>
          <w:rFonts w:hint="eastAsia" w:ascii="Times New Roman" w:eastAsia="仿宋_GB2312"/>
          <w:b w:val="0"/>
          <w:sz w:val="32"/>
          <w:szCs w:val="32"/>
          <w:lang w:val="en-US" w:eastAsia="zh-CN"/>
        </w:rPr>
        <w:t>10.石家庄市友好代表团出访印度尼西亚</w:t>
      </w:r>
      <w:r>
        <w:rPr>
          <w:rFonts w:ascii="Times New Roman" w:eastAsia="仿宋_GB2312"/>
          <w:b w:val="0"/>
          <w:sz w:val="32"/>
          <w:szCs w:val="32"/>
        </w:rPr>
        <w:t>项目</w:t>
      </w:r>
      <w:r>
        <w:rPr>
          <w:rFonts w:hint="eastAsia" w:ascii="Times New Roman" w:eastAsia="仿宋_GB2312"/>
          <w:b w:val="0"/>
          <w:sz w:val="32"/>
          <w:szCs w:val="32"/>
          <w:lang w:val="en-US" w:eastAsia="zh-CN"/>
        </w:rPr>
        <w:t>:</w:t>
      </w:r>
    </w:p>
    <w:p>
      <w:pPr>
        <w:widowControl/>
        <w:numPr>
          <w:ilvl w:val="0"/>
          <w:numId w:val="0"/>
        </w:numPr>
        <w:spacing w:before="0" w:beforeLines="0" w:beforeAutospacing="0" w:after="0" w:afterLines="0" w:afterAutospacing="0" w:line="360" w:lineRule="auto"/>
        <w:ind w:left="240" w:leftChars="0"/>
        <w:jc w:val="left"/>
        <w:rPr>
          <w:rFonts w:hint="eastAsia" w:eastAsia="仿宋_GB2312"/>
          <w:lang w:val="en-US" w:eastAsia="zh-CN"/>
        </w:rPr>
      </w:pPr>
      <w:r>
        <w:drawing>
          <wp:inline distT="0" distB="0" distL="114300" distR="114300">
            <wp:extent cx="5758180" cy="6671945"/>
            <wp:effectExtent l="0" t="0" r="13970" b="14605"/>
            <wp:docPr id="2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4"/>
                    <pic:cNvPicPr>
                      <a:picLocks noChangeAspect="1"/>
                    </pic:cNvPicPr>
                  </pic:nvPicPr>
                  <pic:blipFill>
                    <a:blip r:embed="rId26"/>
                    <a:stretch>
                      <a:fillRect/>
                    </a:stretch>
                  </pic:blipFill>
                  <pic:spPr>
                    <a:xfrm>
                      <a:off x="0" y="0"/>
                      <a:ext cx="5758180" cy="667194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本年度无财政评价项目。</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w:t>
      </w:r>
      <w:bookmarkStart w:id="0" w:name="_GoBack"/>
      <w:bookmarkEnd w:id="0"/>
      <w:r>
        <w:rPr>
          <w:rFonts w:ascii="Times New Roman" w:eastAsia="仿宋_GB2312"/>
          <w:b w:val="0"/>
          <w:sz w:val="32"/>
          <w:szCs w:val="32"/>
        </w:rPr>
        <w:t>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ACCC922A-0609-4A49-8C4F-268B6B7B1AA0}"/>
  </w:font>
  <w:font w:name="黑体">
    <w:panose1 w:val="02010609060101010101"/>
    <w:charset w:val="86"/>
    <w:family w:val="auto"/>
    <w:pitch w:val="default"/>
    <w:sig w:usb0="800002BF" w:usb1="38CF7CFA" w:usb2="00000016" w:usb3="00000000" w:csb0="00040001" w:csb1="00000000"/>
    <w:embedRegular r:id="rId2" w:fontKey="{7E35FD93-6C86-48D6-A5F1-F1670EBBA95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3B105E7B-4E22-4D4C-B840-50A27D711A1E}"/>
  </w:font>
  <w:font w:name="仿宋">
    <w:panose1 w:val="02010609060101010101"/>
    <w:charset w:val="86"/>
    <w:family w:val="modern"/>
    <w:pitch w:val="default"/>
    <w:sig w:usb0="800002BF" w:usb1="38CF7CFA" w:usb2="00000016" w:usb3="00000000" w:csb0="00040001" w:csb1="00000000"/>
    <w:embedRegular r:id="rId4" w:fontKey="{39B427A9-2027-4D8D-985A-8C3A94AE6AC8}"/>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6F84D420-E6B5-450C-AA2B-CB9D33DBC669}"/>
  </w:font>
  <w:font w:name="方正小标宋_GBK">
    <w:panose1 w:val="02000000000000000000"/>
    <w:charset w:val="86"/>
    <w:family w:val="script"/>
    <w:pitch w:val="default"/>
    <w:sig w:usb0="A00002BF" w:usb1="38CF7CFA" w:usb2="00082016" w:usb3="00000000" w:csb0="00040001" w:csb1="00000000"/>
    <w:embedRegular r:id="rId6" w:fontKey="{3958B1C0-9938-45AF-B2D5-E1FCB1D2A6AC}"/>
  </w:font>
  <w:font w:name="仿宋_GB2312">
    <w:panose1 w:val="02010609030101010101"/>
    <w:charset w:val="86"/>
    <w:family w:val="auto"/>
    <w:pitch w:val="default"/>
    <w:sig w:usb0="00000001" w:usb1="080E0000" w:usb2="00000000" w:usb3="00000000" w:csb0="00040000" w:csb1="00000000"/>
    <w:embedRegular r:id="rId7" w:fontKey="{6578B7B8-8220-4A3F-A9D2-EB907F71A907}"/>
  </w:font>
  <w:font w:name="ArialUnicodeMS">
    <w:altName w:val="Malgun Gothic"/>
    <w:panose1 w:val="00000000000000000000"/>
    <w:charset w:val="81"/>
    <w:family w:val="auto"/>
    <w:pitch w:val="default"/>
    <w:sig w:usb0="00000000" w:usb1="00000000" w:usb2="00000010" w:usb3="00000000" w:csb0="00080001" w:csb1="00000000"/>
    <w:embedRegular r:id="rId8" w:fontKey="{8FE52365-CDF3-4F93-8394-2A5501E0EC87}"/>
  </w:font>
  <w:font w:name="方正仿宋_GB2312">
    <w:altName w:val="仿宋"/>
    <w:panose1 w:val="02000000000000000000"/>
    <w:charset w:val="86"/>
    <w:family w:val="auto"/>
    <w:pitch w:val="default"/>
    <w:sig w:usb0="00000000" w:usb1="00000000" w:usb2="00000012" w:usb3="00000000" w:csb0="00040001" w:csb1="00000000"/>
    <w:embedRegular r:id="rId9" w:fontKey="{C517733A-8419-43BB-B1E4-8051B443E9AB}"/>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050117"/>
    <w:multiLevelType w:val="singleLevel"/>
    <w:tmpl w:val="90050117"/>
    <w:lvl w:ilvl="0" w:tentative="0">
      <w:start w:val="2"/>
      <w:numFmt w:val="decimal"/>
      <w:lvlText w:val="%1."/>
      <w:lvlJc w:val="left"/>
      <w:pPr>
        <w:tabs>
          <w:tab w:val="left" w:pos="312"/>
        </w:tabs>
        <w:ind w:left="240"/>
      </w:pPr>
    </w:lvl>
  </w:abstractNum>
  <w:abstractNum w:abstractNumId="1">
    <w:nsid w:val="9256E970"/>
    <w:multiLevelType w:val="singleLevel"/>
    <w:tmpl w:val="9256E970"/>
    <w:lvl w:ilvl="0" w:tentative="0">
      <w:start w:val="8"/>
      <w:numFmt w:val="decimal"/>
      <w:lvlText w:val="%1."/>
      <w:lvlJc w:val="left"/>
      <w:pPr>
        <w:tabs>
          <w:tab w:val="left" w:pos="312"/>
        </w:tabs>
      </w:p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61442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267BDE"/>
    <w:rsid w:val="16457D9F"/>
    <w:rsid w:val="166F51E0"/>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6065E1"/>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EC18E6"/>
    <w:rsid w:val="28F879DA"/>
    <w:rsid w:val="294B7731"/>
    <w:rsid w:val="29514455"/>
    <w:rsid w:val="29D21FF2"/>
    <w:rsid w:val="2A3D5435"/>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5FD6801"/>
    <w:rsid w:val="360134DF"/>
    <w:rsid w:val="360B1E2F"/>
    <w:rsid w:val="360D500F"/>
    <w:rsid w:val="36330424"/>
    <w:rsid w:val="36FE3ABA"/>
    <w:rsid w:val="37072BDE"/>
    <w:rsid w:val="37455334"/>
    <w:rsid w:val="37527C32"/>
    <w:rsid w:val="37731921"/>
    <w:rsid w:val="37E509C0"/>
    <w:rsid w:val="37E96FB8"/>
    <w:rsid w:val="38222D85"/>
    <w:rsid w:val="382700FA"/>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661858"/>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337AEE"/>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0A61CDD"/>
    <w:rsid w:val="61072DA5"/>
    <w:rsid w:val="611C0817"/>
    <w:rsid w:val="61224A52"/>
    <w:rsid w:val="613D4438"/>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86707"/>
    <w:rsid w:val="6A5E3B28"/>
    <w:rsid w:val="6A6B1EBE"/>
    <w:rsid w:val="6A8F43F7"/>
    <w:rsid w:val="6AD625F3"/>
    <w:rsid w:val="6B7218BE"/>
    <w:rsid w:val="6B750BA9"/>
    <w:rsid w:val="6BB93285"/>
    <w:rsid w:val="6C0C698C"/>
    <w:rsid w:val="6C222401"/>
    <w:rsid w:val="6C56267F"/>
    <w:rsid w:val="6C826EF9"/>
    <w:rsid w:val="6CAE4C93"/>
    <w:rsid w:val="6CB14F16"/>
    <w:rsid w:val="6CC92C88"/>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645AA5"/>
    <w:rsid w:val="758F1E9B"/>
    <w:rsid w:val="75CE266B"/>
    <w:rsid w:val="76120141"/>
    <w:rsid w:val="768216BE"/>
    <w:rsid w:val="76C23B43"/>
    <w:rsid w:val="76FD6F97"/>
    <w:rsid w:val="770218E8"/>
    <w:rsid w:val="779469CE"/>
    <w:rsid w:val="77C875A5"/>
    <w:rsid w:val="786D6CA9"/>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1787.66</c:v>
                </c:pt>
                <c:pt idx="1">
                  <c:v>1712.88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16996771.69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14825913.73</c:v>
                </c:pt>
                <c:pt idx="1">
                  <c:v>2302850.47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1775.03</c:v>
                </c:pt>
                <c:pt idx="1">
                  <c:v>1774.46</c:v>
                </c:pt>
                <c:pt idx="2">
                  <c:v>1775.03</c:v>
                </c:pt>
                <c:pt idx="3">
                  <c:v>1774.46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1699.68</c:v>
                </c:pt>
                <c:pt idx="1">
                  <c:v>1712.88</c:v>
                </c:pt>
                <c:pt idx="2">
                  <c:v>1699.68</c:v>
                </c:pt>
                <c:pt idx="3">
                  <c:v>1712.88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2597.27</c:v>
                </c:pt>
                <c:pt idx="1">
                  <c:v>2597.27</c:v>
                </c:pt>
                <c:pt idx="2">
                  <c:v>2597.27</c:v>
                </c:pt>
                <c:pt idx="3">
                  <c:v>2597.27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1699.68</c:v>
                </c:pt>
                <c:pt idx="1">
                  <c:v>1712.88</c:v>
                </c:pt>
                <c:pt idx="2">
                  <c:v>1699.68</c:v>
                </c:pt>
                <c:pt idx="3">
                  <c:v>1712.88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1389.32</c:v>
                </c:pt>
                <c:pt idx="1">
                  <c:v>0</c:v>
                </c:pt>
                <c:pt idx="2">
                  <c:v>0</c:v>
                </c:pt>
                <c:pt idx="3">
                  <c:v>0</c:v>
                </c:pt>
                <c:pt idx="4">
                  <c:v>0</c:v>
                </c:pt>
                <c:pt idx="5">
                  <c:v>0</c:v>
                </c:pt>
                <c:pt idx="6">
                  <c:v>0</c:v>
                </c:pt>
                <c:pt idx="7">
                  <c:v>181.89</c:v>
                </c:pt>
                <c:pt idx="8">
                  <c:v>58.39</c:v>
                </c:pt>
                <c:pt idx="9">
                  <c:v>0</c:v>
                </c:pt>
                <c:pt idx="10">
                  <c:v>0</c:v>
                </c:pt>
                <c:pt idx="11">
                  <c:v>0</c:v>
                </c:pt>
                <c:pt idx="12">
                  <c:v>0</c:v>
                </c:pt>
                <c:pt idx="13">
                  <c:v>0</c:v>
                </c:pt>
                <c:pt idx="14">
                  <c:v>0</c:v>
                </c:pt>
                <c:pt idx="15">
                  <c:v>0</c:v>
                </c:pt>
                <c:pt idx="16">
                  <c:v>0</c:v>
                </c:pt>
                <c:pt idx="17">
                  <c:v>0</c:v>
                </c:pt>
                <c:pt idx="18">
                  <c:v>83.27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53</Pages>
  <Words>611</Words>
  <Characters>2169</Characters>
  <Lines>86</Lines>
  <Paragraphs>24</Paragraphs>
  <TotalTime>1</TotalTime>
  <ScaleCrop>false</ScaleCrop>
  <LinksUpToDate>false</LinksUpToDate>
  <CharactersWithSpaces>2170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  与繁華相愛</cp:lastModifiedBy>
  <cp:lastPrinted>2023-08-04T01:00:00Z</cp:lastPrinted>
  <dcterms:modified xsi:type="dcterms:W3CDTF">2025-09-09T09:11:46Z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69B184E8D1A1419BA9B066A3505ABD4B</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