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438006</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：石家庄市国际事务服务中心</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石家庄市国际事务服务中心</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石家庄市国际事务服务中心</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为社会各单位提供专业的对外翻译服务，为留学、探亲、 劳务等出国人员提供信息咨询服务，为全市经贸、科技、文 教等领域的对外交流与合作提供外事服务。</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石家庄市国际事务服务中心</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财政补助事业单位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差额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部门（单位）：石家庄市国际事务服务中心</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372.57</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55.95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372.57</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385.77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13.20</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385.77</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385.77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部门（单位）：石家庄市国际事务服务中心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372.57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372.57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264.72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264.72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264.72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264.72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2010350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264.72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264.72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55.95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55.95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30.45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30.45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其他行政事业单位医疗支出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31.27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31.27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31.27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31.27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31.27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31.27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部门（单位）：石家庄市国际事务服务中心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385.77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385.77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277.92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277.92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277.92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277.92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277.92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277.92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55.95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55.95</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9.15</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30.45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30.45</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31.27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31.27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31.27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31.27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31.27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31.27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部门（单位）：石家庄市国际事务服务中心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372.57</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277.92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277.92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55.95</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55.95</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31.27</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31.27</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372.57</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385.77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385.77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13.20</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13.20</w:t>
            </w: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385.77</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385.77</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385.77</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6"/>
        <w:gridCol w:w="3416"/>
        <w:gridCol w:w="408"/>
        <w:gridCol w:w="825"/>
        <w:gridCol w:w="1002"/>
        <w:gridCol w:w="378"/>
        <w:gridCol w:w="16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编制部门（单位）：石家庄市国际事务服务中心</w:t>
            </w:r>
          </w:p>
        </w:tc>
        <w:tc>
          <w:tcPr>
            <w:tcW w:w="154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385.77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385.77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277.92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277.92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277.92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277.92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277.92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277.92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55.95</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9.15</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30.45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30.45</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14.64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2089999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31.27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31.27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31.27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31.27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31.27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31.27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部门（单位）：石家庄市国际事务服务中心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359.62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16.90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77.53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4.95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16.61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76.60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64.38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39.60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18.69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20.63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31.27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12.60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9.25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9.15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4.96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368.87</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部门（单位）：石家庄市国际事务服务中心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部门（单位）：石家庄市国际事务服务中心</w:t>
            </w:r>
          </w:p>
        </w:tc>
        <w:tc>
          <w:tcPr>
            <w:tcW w:w="1421"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部门（单位）：石家庄市国际事务服务中心</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ind w:firstLine="640" w:firstLineChars="200"/>
        <w:rPr>
          <w:rFonts w:ascii="Times New Roman" w:eastAsia="仿宋_GB2312"/>
          <w:b w:val="0"/>
          <w:sz w:val="32"/>
          <w:szCs w:val="32"/>
        </w:rPr>
      </w:pPr>
      <w:r>
        <w:rPr>
          <w:rFonts w:ascii="Times New Roman" w:eastAsia="仿宋_GB2312"/>
          <w:b w:val="0"/>
          <w:sz w:val="32"/>
          <w:szCs w:val="32"/>
        </w:rPr>
        <w:t>本单位2024年度收、支总计（含结转和结余）均为385.77万元。与2023年度决算相比，收支各减少11.94万元，下降3.0%，主要原因是</w:t>
      </w:r>
      <w:r>
        <w:rPr>
          <w:rFonts w:hint="eastAsia" w:ascii="Times New Roman" w:eastAsia="仿宋_GB2312"/>
          <w:b w:val="0"/>
          <w:sz w:val="32"/>
          <w:szCs w:val="32"/>
          <w:lang w:eastAsia="zh-CN"/>
        </w:rPr>
        <w:t>减少了人员和公用经费。</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372.57万元，其中：财政拨款收入372.57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本单位2024年度本年支出合计385.77万元，其中：基本支出385.77万元，占100.0%；项目支出0.00万元，占0.0%；上缴上级支出0.00万元，占0.0%；经营支出0.00万元，占0.0%；对附属单位补助支出0.00万元，占0.0%。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本单位2024年度财政拨款收、支总计（含结转和结余）均为385.77万元。与2023年度相比，财政拨款收支各减少11.94万元，降低3.0%，主要原因是</w:t>
      </w:r>
      <w:r>
        <w:rPr>
          <w:rFonts w:hint="eastAsia" w:ascii="Times New Roman" w:eastAsia="仿宋_GB2312"/>
          <w:b w:val="0"/>
          <w:sz w:val="32"/>
          <w:szCs w:val="32"/>
          <w:lang w:eastAsia="zh-CN"/>
        </w:rPr>
        <w:t>减少了人员和公用经费</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本单位2024年度财政拨款本年收入372.57万元,比上年减少12.51万元，降低3.2%，主要原因是</w:t>
      </w:r>
      <w:r>
        <w:rPr>
          <w:rFonts w:hint="eastAsia" w:ascii="Times New Roman" w:eastAsia="仿宋_GB2312"/>
          <w:b w:val="0"/>
          <w:sz w:val="32"/>
          <w:szCs w:val="32"/>
          <w:lang w:eastAsia="zh-CN"/>
        </w:rPr>
        <w:t>减少了人员和公用经费</w:t>
      </w:r>
      <w:r>
        <w:rPr>
          <w:rFonts w:ascii="Times New Roman" w:eastAsia="仿宋_GB2312"/>
          <w:b w:val="0"/>
          <w:sz w:val="32"/>
          <w:szCs w:val="32"/>
        </w:rPr>
        <w:t>；本年支出385.77万元，比上年增加1.26万元，增长0.3%，主要原因是</w:t>
      </w:r>
      <w:r>
        <w:rPr>
          <w:rFonts w:hint="eastAsia" w:ascii="Times New Roman" w:eastAsia="仿宋_GB2312"/>
          <w:b w:val="0"/>
          <w:sz w:val="32"/>
          <w:szCs w:val="32"/>
          <w:lang w:eastAsia="zh-CN"/>
        </w:rPr>
        <w:t>支出了上年结转的经费</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1.一般公共预算财政拨款本年收入372.57万元,比上年减少12.51万元，降低3.2%，主要原因是</w:t>
      </w:r>
      <w:r>
        <w:rPr>
          <w:rFonts w:hint="eastAsia" w:ascii="Times New Roman" w:eastAsia="仿宋_GB2312"/>
          <w:b w:val="0"/>
          <w:sz w:val="32"/>
          <w:szCs w:val="32"/>
          <w:lang w:eastAsia="zh-CN"/>
        </w:rPr>
        <w:t>减少了人员和公用经费</w:t>
      </w:r>
      <w:r>
        <w:rPr>
          <w:rFonts w:ascii="Times New Roman" w:eastAsia="仿宋_GB2312"/>
          <w:b w:val="0"/>
          <w:sz w:val="32"/>
          <w:szCs w:val="32"/>
        </w:rPr>
        <w:t>；本年支出385.77万元，比上年增加1.26万元，增长0.3%，主要原因是</w:t>
      </w:r>
      <w:r>
        <w:rPr>
          <w:rFonts w:hint="eastAsia" w:ascii="Times New Roman" w:eastAsia="仿宋_GB2312"/>
          <w:b w:val="0"/>
          <w:sz w:val="32"/>
          <w:szCs w:val="32"/>
          <w:lang w:eastAsia="zh-CN"/>
        </w:rPr>
        <w:t>支出了上年结转的经费</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2.政府性基金预算财政拨款本年收入0.00万元，比上年增加0.00万元，增长0.00%；本年支出0.00万元，比上年增加0.00万元，增长0.00%。</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3.国有资本经营预算财政拨款本年收入0.00万元，比上年增加0.00万元，增长0.00%；本年支出0.00万元，比上年增加0.00万元，增长0.00%。</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本单位2024年度财政拨款本年收入372.57万元，完成年初预算的99.3%，比年初预算减少2.65万元，决算数小于预算数主要原因是</w:t>
      </w:r>
      <w:r>
        <w:rPr>
          <w:rFonts w:hint="eastAsia" w:ascii="Times New Roman" w:eastAsia="仿宋_GB2312"/>
          <w:b w:val="0"/>
          <w:sz w:val="32"/>
          <w:szCs w:val="32"/>
          <w:lang w:eastAsia="zh-CN"/>
        </w:rPr>
        <w:t>减少了人员和公用经费支出</w:t>
      </w:r>
      <w:r>
        <w:rPr>
          <w:rFonts w:ascii="Times New Roman" w:eastAsia="仿宋_GB2312"/>
          <w:b w:val="0"/>
          <w:sz w:val="32"/>
          <w:szCs w:val="32"/>
        </w:rPr>
        <w:t>；本年支出385.77万元，完成年初预算的102.8%，比年初预算增加10.55万元，决算数大于预算数主要原因</w:t>
      </w:r>
      <w:r>
        <w:rPr>
          <w:rFonts w:hint="eastAsia" w:ascii="Times New Roman" w:eastAsia="仿宋_GB2312"/>
          <w:b w:val="0"/>
          <w:sz w:val="32"/>
          <w:szCs w:val="32"/>
          <w:lang w:eastAsia="zh-CN"/>
        </w:rPr>
        <w:t>是支出了上年结转的经费</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1.一般公共预算财政拨款本年收入完成年初预算的99.3%，比年初预算减少2.65万元，主要原因是</w:t>
      </w:r>
      <w:r>
        <w:rPr>
          <w:rFonts w:hint="eastAsia" w:ascii="Times New Roman" w:eastAsia="仿宋_GB2312"/>
          <w:b w:val="0"/>
          <w:sz w:val="32"/>
          <w:szCs w:val="32"/>
          <w:lang w:eastAsia="zh-CN"/>
        </w:rPr>
        <w:t>减少了人员和公用经费支出</w:t>
      </w:r>
      <w:r>
        <w:rPr>
          <w:rFonts w:ascii="Times New Roman" w:eastAsia="仿宋_GB2312"/>
          <w:b w:val="0"/>
          <w:sz w:val="32"/>
          <w:szCs w:val="32"/>
        </w:rPr>
        <w:t>；支出完成年初预算的102.8%，比年初预算增加10.55万元，主要原因是</w:t>
      </w:r>
      <w:r>
        <w:rPr>
          <w:rFonts w:hint="eastAsia" w:ascii="Times New Roman" w:eastAsia="仿宋_GB2312"/>
          <w:b w:val="0"/>
          <w:sz w:val="32"/>
          <w:szCs w:val="32"/>
          <w:lang w:eastAsia="zh-CN"/>
        </w:rPr>
        <w:t>支出了上年结转的经费</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2.政府性基金预算财政拨款本年收入完成年初预算的0.0%，比年初预算增加0.00万元；支出完成年初预算的0.0%，比年初预算增加0.00万元。</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3.国有资本经营预算财政拨款本年收入完成年初预算的0.0%，比年初预算增加0.00万元；支出完成年初预算的0.0%，比年初预算增加0.00万元。</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2024年度财政拨款支出385.77万元，主要用于以下方面：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一般公共服务（类）支出</w:t>
      </w:r>
      <w:r>
        <w:rPr>
          <w:rFonts w:hint="eastAsia" w:ascii="Times New Roman" w:eastAsia="仿宋_GB2312"/>
          <w:b w:val="0"/>
          <w:sz w:val="32"/>
          <w:szCs w:val="32"/>
          <w:lang w:val="en-US" w:eastAsia="zh-CN"/>
        </w:rPr>
        <w:t>277.92</w:t>
      </w:r>
      <w:r>
        <w:rPr>
          <w:rFonts w:ascii="Times New Roman" w:eastAsia="仿宋_GB2312"/>
          <w:b w:val="0"/>
          <w:sz w:val="32"/>
          <w:szCs w:val="32"/>
        </w:rPr>
        <w:t>万元，占</w:t>
      </w:r>
      <w:r>
        <w:rPr>
          <w:rFonts w:hint="eastAsia" w:ascii="Times New Roman" w:eastAsia="仿宋_GB2312"/>
          <w:b w:val="0"/>
          <w:sz w:val="32"/>
          <w:szCs w:val="32"/>
          <w:lang w:val="en-US" w:eastAsia="zh-CN"/>
        </w:rPr>
        <w:t>72.0</w:t>
      </w:r>
      <w:r>
        <w:rPr>
          <w:rFonts w:ascii="Times New Roman" w:eastAsia="仿宋_GB2312"/>
          <w:b w:val="0"/>
          <w:sz w:val="32"/>
          <w:szCs w:val="32"/>
        </w:rPr>
        <w:t>%，主要用于</w:t>
      </w:r>
      <w:r>
        <w:rPr>
          <w:rFonts w:hint="eastAsia" w:ascii="Times New Roman" w:eastAsia="仿宋_GB2312"/>
          <w:b w:val="0"/>
          <w:sz w:val="32"/>
          <w:szCs w:val="32"/>
          <w:lang w:eastAsia="zh-CN"/>
        </w:rPr>
        <w:t>日常公用、人员经费、项目</w:t>
      </w:r>
      <w:r>
        <w:rPr>
          <w:rFonts w:ascii="Times New Roman" w:eastAsia="仿宋_GB2312"/>
          <w:b w:val="0"/>
          <w:sz w:val="32"/>
          <w:szCs w:val="32"/>
        </w:rPr>
        <w:t>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55.95万元，占14.5%，主要用于缴纳养老保险等支出；卫生健康（类）支出20.63万元，占5.3%</w:t>
      </w:r>
      <w:r>
        <w:rPr>
          <w:rFonts w:hint="eastAsia" w:ascii="Times New Roman" w:eastAsia="仿宋_GB2312"/>
          <w:b w:val="0"/>
          <w:sz w:val="32"/>
          <w:szCs w:val="32"/>
          <w:lang w:eastAsia="zh-CN"/>
        </w:rPr>
        <w:t>，</w:t>
      </w:r>
      <w:r>
        <w:rPr>
          <w:rFonts w:ascii="Times New Roman" w:eastAsia="仿宋_GB2312"/>
          <w:b w:val="0"/>
          <w:sz w:val="32"/>
          <w:szCs w:val="32"/>
        </w:rPr>
        <w:t>主要用于缴纳医疗保险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31.27万元，占8.1%，主要用于缴纳住房公积金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pPr>
        <w:pStyle w:val="2"/>
        <w:rPr>
          <w:rFonts w:ascii="Times New Roman" w:eastAsia="仿宋_GB2312"/>
          <w:b w:val="0"/>
          <w:sz w:val="32"/>
          <w:szCs w:val="32"/>
        </w:rPr>
      </w:pPr>
    </w:p>
    <w:p>
      <w:pPr>
        <w:pStyle w:val="2"/>
        <w:rPr>
          <w:rFonts w:ascii="Times New Roman" w:eastAsia="仿宋_GB2312"/>
          <w:b w:val="0"/>
          <w:sz w:val="32"/>
          <w:szCs w:val="32"/>
        </w:rPr>
      </w:pPr>
    </w:p>
    <w:p>
      <w:pPr>
        <w:pStyle w:val="2"/>
        <w:rPr>
          <w:rFonts w:ascii="Times New Roman" w:eastAsia="仿宋_GB2312"/>
          <w:b w:val="0"/>
          <w:sz w:val="32"/>
          <w:szCs w:val="32"/>
        </w:rPr>
      </w:pPr>
    </w:p>
    <w:p>
      <w:pPr>
        <w:pStyle w:val="2"/>
        <w:rPr>
          <w:rFonts w:ascii="Times New Roman" w:eastAsia="仿宋_GB2312"/>
          <w:b w:val="0"/>
          <w:sz w:val="32"/>
          <w:szCs w:val="32"/>
        </w:rPr>
      </w:pPr>
      <w:bookmarkStart w:id="0" w:name="_GoBack"/>
      <w:bookmarkEnd w:id="0"/>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2024年度财政拨款基本支出385.77万元，其中：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368.87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16.90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本单位2024年度“三公”经费财政拨款支出预算为0.00万元，支出决算为0.00万元，完成预算的0.0%，较预算增加0.00万元，增长0.0%；较2023年度决算增加0.00万元，增长0.00%。</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hint="eastAsia" w:ascii="Times New Roman" w:eastAsia="仿宋_GB2312"/>
          <w:b w:val="0"/>
          <w:sz w:val="32"/>
          <w:szCs w:val="32"/>
          <w:lang w:eastAsia="zh-CN"/>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较上年增加0.00万元，增长0.00%。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个、共</w:t>
      </w:r>
      <w:r>
        <w:rPr>
          <w:rFonts w:hint="eastAsia" w:ascii="Times New Roman" w:eastAsia="仿宋_GB2312"/>
          <w:b w:val="0"/>
          <w:sz w:val="32"/>
          <w:szCs w:val="32"/>
          <w:lang w:val="en-US" w:eastAsia="zh-CN"/>
        </w:rPr>
        <w:t>0</w:t>
      </w:r>
      <w:r>
        <w:rPr>
          <w:rFonts w:ascii="Times New Roman" w:eastAsia="仿宋_GB2312"/>
          <w:b w:val="0"/>
          <w:sz w:val="32"/>
          <w:szCs w:val="32"/>
        </w:rPr>
        <w:t>人</w:t>
      </w:r>
      <w:r>
        <w:rPr>
          <w:rFonts w:hint="eastAsia" w:ascii="Times New Roman" w:eastAsia="仿宋_GB2312"/>
          <w:b w:val="0"/>
          <w:sz w:val="32"/>
          <w:szCs w:val="32"/>
          <w:lang w:eastAsia="zh-CN"/>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本单位2024年度公务用车购置及运行维护费预算为0.00万元，支出决算0.00万元，完成预算的0.0%,较预算增加0.00万元，增长0.0%；较上年增加0.00万元，增长0.00%。其中：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本单位2024年度公务用车购置量0辆，发生“公务用车购置”经费支出0.00万元。公务用车购置费支出较预算增加0.00万元，增长0.0%；较上年增加0.00万元，增长0.00%。</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本单位2024年度单位公务用车保有量0辆，发生运行维护费支出0.00万元。公车运行维护费支出较预算增加0.00万元，增长0.0%；较上年增加0.00万元，增长0.00%。</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本单位2024年度公务接待费支出预算为0.00万元，支出决算0.00万元，完成预算的0.0%。公务接待费支出较预算增加0.00万元，增长0.0%；较上年度增加0.00万元，增长0.00%。本年度共发生公务接待0批次、0人次。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本单位2024年度机关运行经费支出0.00万元，较2023年度增加0.00万元，增长0.00%。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比上年增加0辆。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0</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lang w:val="en-US" w:eastAsia="zh-CN"/>
        </w:rPr>
        <w:t>0</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0</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本单位在今年部门决算公开中反映等</w:t>
      </w:r>
      <w:r>
        <w:rPr>
          <w:rFonts w:hint="eastAsia" w:ascii="Times New Roman" w:eastAsia="仿宋_GB2312"/>
          <w:b w:val="0"/>
          <w:sz w:val="32"/>
          <w:szCs w:val="32"/>
          <w:lang w:val="en-US" w:eastAsia="zh-CN"/>
        </w:rPr>
        <w:t>0</w:t>
      </w:r>
      <w:r>
        <w:rPr>
          <w:rFonts w:ascii="Times New Roman" w:eastAsia="仿宋_GB2312"/>
          <w:b w:val="0"/>
          <w:sz w:val="32"/>
          <w:szCs w:val="32"/>
        </w:rPr>
        <w:t>个项目绩效自评结果。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项目绩效自评情况：根据年初设定的绩效目标，全年预算数为</w:t>
      </w:r>
      <w:r>
        <w:rPr>
          <w:rFonts w:hint="eastAsia" w:ascii="Times New Roman" w:eastAsia="仿宋_GB2312"/>
          <w:b w:val="0"/>
          <w:sz w:val="32"/>
          <w:szCs w:val="32"/>
          <w:lang w:val="en-US" w:eastAsia="zh-CN"/>
        </w:rPr>
        <w:t>0</w:t>
      </w:r>
      <w:r>
        <w:rPr>
          <w:rFonts w:ascii="Times New Roman" w:eastAsia="仿宋_GB2312"/>
          <w:b w:val="0"/>
          <w:sz w:val="32"/>
          <w:szCs w:val="32"/>
        </w:rPr>
        <w:t>万元，执行数为</w:t>
      </w:r>
      <w:r>
        <w:rPr>
          <w:rFonts w:hint="eastAsia" w:ascii="Times New Roman" w:eastAsia="仿宋_GB2312"/>
          <w:b w:val="0"/>
          <w:sz w:val="32"/>
          <w:szCs w:val="32"/>
          <w:lang w:val="en-US" w:eastAsia="zh-CN"/>
        </w:rPr>
        <w:t>0</w:t>
      </w:r>
      <w:r>
        <w:rPr>
          <w:rFonts w:ascii="Times New Roman" w:eastAsia="仿宋_GB2312"/>
          <w:b w:val="0"/>
          <w:sz w:val="32"/>
          <w:szCs w:val="32"/>
        </w:rPr>
        <w:t>万元，完成预算的</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eastAsia="zh-CN"/>
        </w:rPr>
        <w:t>无</w:t>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1.本单位2024年度政府性基金预算财政拨款收入支出决算表（公开07表）、国有资本经营预算财政拨款支出决算表（公开08表）、财政拨款“三公”经费支出决算表（公开09表）无相应收支，故空表列示。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F0B9BDD0-10FE-41FA-BAF1-52839254893D}"/>
  </w:font>
  <w:font w:name="黑体">
    <w:panose1 w:val="02010609060101010101"/>
    <w:charset w:val="86"/>
    <w:family w:val="auto"/>
    <w:pitch w:val="default"/>
    <w:sig w:usb0="800002BF" w:usb1="38CF7CFA" w:usb2="00000016" w:usb3="00000000" w:csb0="00040001" w:csb1="00000000"/>
    <w:embedRegular r:id="rId2" w:fontKey="{A3969FB9-1854-40C6-B15B-9EC45FAE2B4C}"/>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32830619-9B63-43BD-85A9-7DE3C4D2F9BA}"/>
  </w:font>
  <w:font w:name="仿宋">
    <w:panose1 w:val="02010609060101010101"/>
    <w:charset w:val="86"/>
    <w:family w:val="modern"/>
    <w:pitch w:val="default"/>
    <w:sig w:usb0="800002BF" w:usb1="38CF7CFA" w:usb2="00000016" w:usb3="00000000" w:csb0="00040001" w:csb1="00000000"/>
    <w:embedRegular r:id="rId4" w:fontKey="{2621B195-1A52-47DD-AA4C-CFD1A5E0CE28}"/>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D5366236-9A8C-4885-A243-0D2B04B848BF}"/>
  </w:font>
  <w:font w:name="方正小标宋_GBK">
    <w:panose1 w:val="02000000000000000000"/>
    <w:charset w:val="86"/>
    <w:family w:val="script"/>
    <w:pitch w:val="default"/>
    <w:sig w:usb0="A00002BF" w:usb1="38CF7CFA" w:usb2="00082016" w:usb3="00000000" w:csb0="00040001" w:csb1="00000000"/>
    <w:embedRegular r:id="rId6" w:fontKey="{3D46B506-F535-4562-8660-D82EF4D62331}"/>
  </w:font>
  <w:font w:name="仿宋_GB2312">
    <w:panose1 w:val="02010609030101010101"/>
    <w:charset w:val="86"/>
    <w:family w:val="auto"/>
    <w:pitch w:val="default"/>
    <w:sig w:usb0="00000001" w:usb1="080E0000" w:usb2="00000000" w:usb3="00000000" w:csb0="00040000" w:csb1="00000000"/>
    <w:embedRegular r:id="rId7" w:fontKey="{D7C2A4DB-15CF-43AD-9043-E265938ED1FE}"/>
  </w:font>
  <w:font w:name="ArialUnicodeMS">
    <w:altName w:val="Malgun Gothic"/>
    <w:panose1 w:val="00000000000000000000"/>
    <w:charset w:val="81"/>
    <w:family w:val="auto"/>
    <w:pitch w:val="default"/>
    <w:sig w:usb0="00000000" w:usb1="00000000" w:usb2="00000010" w:usb3="00000000" w:csb0="00080001" w:csb1="00000000"/>
    <w:embedRegular r:id="rId8" w:fontKey="{BB8A3F84-AF36-46BE-9278-C2BF6B798AE8}"/>
  </w:font>
  <w:font w:name="方正仿宋_GB2312">
    <w:altName w:val="仿宋"/>
    <w:panose1 w:val="02000000000000000000"/>
    <w:charset w:val="86"/>
    <w:family w:val="auto"/>
    <w:pitch w:val="default"/>
    <w:sig w:usb0="00000000" w:usb1="00000000" w:usb2="00000012" w:usb3="00000000" w:csb0="00040001" w:csb1="00000000"/>
    <w:embedRegular r:id="rId9" w:fontKey="{0B69167F-9924-4E53-8603-189428733BD2}"/>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p>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3"/>
      <w:lvlText w:val="%1."/>
      <w:lvlJc w:val="left"/>
      <w:pPr>
        <w:ind w:left="425" w:hanging="425"/>
      </w:pPr>
      <w:rPr>
        <w:rFonts w:hint="default"/>
      </w:rPr>
    </w:lvl>
    <w:lvl w:ilvl="1" w:tentative="0">
      <w:start w:val="1"/>
      <w:numFmt w:val="decimal"/>
      <w:pStyle w:val="4"/>
      <w:lvlText w:val="%1.%2."/>
      <w:lvlJc w:val="left"/>
      <w:pPr>
        <w:ind w:left="567" w:hanging="567"/>
      </w:pPr>
      <w:rPr>
        <w:rFonts w:hint="default"/>
      </w:rPr>
    </w:lvl>
    <w:lvl w:ilvl="2" w:tentative="0">
      <w:start w:val="1"/>
      <w:numFmt w:val="decimal"/>
      <w:pStyle w:val="5"/>
      <w:lvlText w:val="%1.%2.%3."/>
      <w:lvlJc w:val="left"/>
      <w:pPr>
        <w:ind w:left="709" w:hanging="709"/>
      </w:pPr>
      <w:rPr>
        <w:rFonts w:hint="default"/>
      </w:rPr>
    </w:lvl>
    <w:lvl w:ilvl="3" w:tentative="0">
      <w:start w:val="1"/>
      <w:numFmt w:val="decimal"/>
      <w:pStyle w:val="6"/>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9F75AA"/>
    <w:rsid w:val="09C006C6"/>
    <w:rsid w:val="0A10621F"/>
    <w:rsid w:val="0A464C4F"/>
    <w:rsid w:val="0A5F1EB4"/>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1FC047D0"/>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5413EA"/>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BC5528"/>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9CD4BDF"/>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841E75"/>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C76FE0"/>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4">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5">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6">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customStyle="1" w:styleId="2">
    <w:name w:val="FootnoteText"/>
    <w:basedOn w:val="1"/>
    <w:qFormat/>
    <w:uiPriority w:val="0"/>
    <w:pPr>
      <w:suppressAutoHyphens/>
      <w:bidi w:val="0"/>
      <w:snapToGrid w:val="0"/>
      <w:jc w:val="left"/>
      <w:textAlignment w:val="baseline"/>
    </w:pPr>
    <w:rPr>
      <w:rFonts w:ascii="Times New Roman" w:hAnsi="Times New Roman" w:eastAsia="宋体" w:cs="Times New Roman"/>
      <w:color w:val="000000"/>
      <w:kern w:val="2"/>
      <w:sz w:val="18"/>
      <w:szCs w:val="24"/>
      <w:lang w:val="en-US" w:eastAsia="zh-CN" w:bidi="ar-SA"/>
    </w:rPr>
  </w:style>
  <w:style w:type="paragraph" w:styleId="7">
    <w:name w:val="annotation text"/>
    <w:basedOn w:val="1"/>
    <w:semiHidden/>
    <w:unhideWhenUsed/>
    <w:qFormat/>
    <w:uiPriority w:val="99"/>
    <w:pPr>
      <w:jc w:val="left"/>
    </w:p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4"/>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397.72</c:v>
                </c:pt>
                <c:pt idx="1">
                  <c:v>385.77</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3725731.99</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3857724.5</c:v>
                </c:pt>
                <c:pt idx="1">
                  <c:v>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385.08</c:v>
                </c:pt>
                <c:pt idx="1">
                  <c:v>384.52</c:v>
                </c:pt>
                <c:pt idx="2">
                  <c:v>385.08</c:v>
                </c:pt>
                <c:pt idx="3">
                  <c:v>384.52</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372.57</c:v>
                </c:pt>
                <c:pt idx="1">
                  <c:v>385.77</c:v>
                </c:pt>
                <c:pt idx="2">
                  <c:v>372.57</c:v>
                </c:pt>
                <c:pt idx="3">
                  <c:v>385.77</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375.22</c:v>
                </c:pt>
                <c:pt idx="1">
                  <c:v>375.22</c:v>
                </c:pt>
                <c:pt idx="2">
                  <c:v>375.22</c:v>
                </c:pt>
                <c:pt idx="3">
                  <c:v>375.22</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372.57</c:v>
                </c:pt>
                <c:pt idx="1">
                  <c:v>385.77</c:v>
                </c:pt>
                <c:pt idx="2">
                  <c:v>372.57</c:v>
                </c:pt>
                <c:pt idx="3">
                  <c:v>385.77</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277.92</c:v>
                </c:pt>
                <c:pt idx="1">
                  <c:v>0</c:v>
                </c:pt>
                <c:pt idx="2">
                  <c:v>0</c:v>
                </c:pt>
                <c:pt idx="3">
                  <c:v>0</c:v>
                </c:pt>
                <c:pt idx="4">
                  <c:v>0</c:v>
                </c:pt>
                <c:pt idx="5">
                  <c:v>0</c:v>
                </c:pt>
                <c:pt idx="6">
                  <c:v>0</c:v>
                </c:pt>
                <c:pt idx="7">
                  <c:v>55.95</c:v>
                </c:pt>
                <c:pt idx="8">
                  <c:v>20.63</c:v>
                </c:pt>
                <c:pt idx="9">
                  <c:v>0</c:v>
                </c:pt>
                <c:pt idx="10">
                  <c:v>0</c:v>
                </c:pt>
                <c:pt idx="11">
                  <c:v>0</c:v>
                </c:pt>
                <c:pt idx="12">
                  <c:v>0</c:v>
                </c:pt>
                <c:pt idx="13">
                  <c:v>0</c:v>
                </c:pt>
                <c:pt idx="14">
                  <c:v>0</c:v>
                </c:pt>
                <c:pt idx="15">
                  <c:v>0</c:v>
                </c:pt>
                <c:pt idx="16">
                  <c:v>0</c:v>
                </c:pt>
                <c:pt idx="17">
                  <c:v>0</c:v>
                </c:pt>
                <c:pt idx="18">
                  <c:v>31.27</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38</Pages>
  <Words>611</Words>
  <Characters>2169</Characters>
  <Lines>86</Lines>
  <Paragraphs>24</Paragraphs>
  <TotalTime>0</TotalTime>
  <ScaleCrop>false</ScaleCrop>
  <LinksUpToDate>false</LinksUpToDate>
  <CharactersWithSpaces>2170</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  与繁華相愛</cp:lastModifiedBy>
  <cp:lastPrinted>2023-08-04T01:00:00Z</cp:lastPrinted>
  <dcterms:modified xsi:type="dcterms:W3CDTF">2025-09-09T09:04:46Z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488316F746A44C58AB1DA30F771F8BA3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