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1.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true"/>
                    </pic:cNvPicPr>
                  </pic:nvPicPr>
                  <pic:blipFill>
                    <a:blip r:embed="rId9"/>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0"/>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true"/>
                    </pic:cNvPicPr>
                  </pic:nvPicPr>
                  <pic:blipFill>
                    <a:blip r:embed="rId11"/>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false"/>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">
                <o:lock v:ext="edit" aspectratio="f"/>
                <v:rect id="矩形 19" o:spid="_x0000_s1026" o:spt="1" style="position:absolute;left:-381;top:4387;height:2457;width:1834;v-text-anchor:middle;" fillcolor="#0176AB" filled="t" stroked="f" coordsize="21600,21600" o:gfxdata="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">
                  <v:fill on="t" focussize="0,0"/>
                  <v:stroke on="f"/>
                  <v:imagedata o:title=""/>
                  <o:lock v:ext="edit" aspectratio="f"/>
                </v:rect>
                <v:shape id="矩形 24" o:spid="_x0000_s1026" o:spt="100" style="position:absolute;left:-3504;top:6953;height:150;width:11815;" fillcolor="#E5AA57" filled="t" stroked="f" coordsize="7501732,94593" o:gfxdata="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true"/>
                    </pic:cNvPicPr>
                  </pic:nvPicPr>
                  <pic:blipFill>
                    <a:blip r:embed="rId12">
                      <a:extLst>
                        <a:ext uri="{28A0092B-C50C-407E-A947-70E740481C1C}">
                          <a14:useLocalDpi xmlns:a14="http://schemas.microsoft.com/office/drawing/2010/main" val="false"/>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true"/>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true"/>
                          <wps:spPr>
                            <a:xfrm>
                              <a:off x="6119" y="2843"/>
                              <a:ext cx="9377" cy="1421"/>
                            </a:xfrm>
                            <a:prstGeom prst="rect">
                              <a:avLst/>
                            </a:prstGeom>
                            <a:noFill/>
                          </wps:spPr>
                          <wps:txbx>
                            <w:txbxContent>
                              <w:p>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WAAAAZHJzL1BLAQIUABQAAAAIAIdO4kCV&#10;BwvF2wAAAAsBAAAPAAAAAAAAAAEAIAAAADgAAABkcnMvZG93bnJldi54bWxQSwECFAAUAAAACACH&#10;TuJAQGQf8igDAAD8CAAADgAAAAAAAAABACAAAABAAQAAZHJzL2Uyb0RvYy54bWxQSwUGAAAAAAYA&#10;BgBZAQAA2gYAAAAA&#10;">
                <o:lock v:ext="edit" aspectratio="f"/>
                <v:shape id="文本框 32" o:spid="_x0000_s1026" o:spt="202" type="#_x0000_t202" style="position:absolute;left:13325;top:1831;height:1348;width:4462;" filled="f" stroked="f" coordsize="21600,21600" o:gfxdata="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DqDuuy7AAAA2wAAAA8AAAAAAAAAAQAgAAAAOAAAAGRycy9kb3ducmV2Lnht&#10;bFBLAQIUABQAAAAIAIdO4kAzLwWeOwAAADkAAAAQAAAAAAAAAAEAIAAAACABAABkcnMvc2hhcGV4&#10;bWwueG1sUEsFBgAAAAAGAAYAWwEAAMoDAAAAAA==&#10;">
                  <v:fill on="f" focussize="0,0"/>
                  <v:stroke on="f"/>
                  <v:imagedata o:title=""/>
                  <o:lock v:ext="edit" aspectratio="f"/>
                  <v:textbox>
                    <w:txbxContent>
                      <w:p>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">
                  <o:lock v:ext="edit" aspectratio="f"/>
                  <v:shape id="文本框 32" o:spid="_x0000_s1026" o:spt="202" type="#_x0000_t202" style="position:absolute;left:6119;top:2843;height:1421;width:9377;" filled="f" stroked="f" coordsize="21600,21600" o:gfxdata="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EEsIDe7AAAA2wAAAA8AAAAAAAAAAQAgAAAAOAAAAGRycy9kb3ducmV2Lnht&#10;bFBLAQIUABQAAAAIAIdO4kAzLwWeOwAAADkAAAAQAAAAAAAAAAEAIAAAACABAABkcnMvc2hhcGV4&#10;bWwueG1sUEsFBgAAAAAGAAYAWwEAAMoDAAAAAA==&#10;">
                    <v:fill on="f" focussize="0,0"/>
                    <v:stroke on="f"/>
                    <v:imagedata o:title=""/>
                    <o:lock v:ext="edit" aspectratio="f"/>
                    <v:textbox>
                      <w:txbxContent>
                        <w:p>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v:textbox>
                  </v:shape>
                  <v:line id="_x0000_s1026" o:spid="_x0000_s1026" o:spt="20" style="position:absolute;left:6226;top:4450;height:0;width:8700;" filled="f" stroked="t" coordsize="21600,21600" o:gfxdata="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PtPjOe+AAAA2gAAAA8AAAAAAAAAAQAgAAAAOAAAAGRycy9kb3ducmV2&#10;LnhtbFBLAQIUABQAAAAIAIdO4kAzLwWeOwAAADkAAAAQAAAAAAAAAAEAIAAAACMBAABkcnMvc2hh&#10;cGV4bWwueG1sUEsFBgAAAAAGAAYAWwEAAM0DA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true"/>
                    </pic:cNvPicPr>
                  </pic:nvPicPr>
                  <pic:blipFill>
                    <a:blip r:embed="rId13">
                      <a:extLst>
                        <a:ext uri="{96DAC541-7B7A-43D3-8B79-37D633B846F1}">
                          <asvg:svgBlip xmlns:asvg="http://schemas.microsoft.com/office/drawing/2016/SVG/main" r:embed="rId14"/>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true"/>
                      <wps:spPr>
                        <a:xfrm>
                          <a:off x="0" y="0"/>
                          <a:ext cx="5494020" cy="570230"/>
                        </a:xfrm>
                        <a:prstGeom prst="rect">
                          <a:avLst/>
                        </a:prstGeom>
                        <a:noFill/>
                      </wps:spPr>
                      <wps:txbx>
                        <w:txbxContent>
                          <w:p>
                            <w:pPr>
                              <w:jc w:val="distribute"/>
                              <w:rPr>
                                <w:rFonts w:hint="eastAsia" w:ascii="思源黑体 CN Heavy" w:hAnsi="思源黑体 CN Heavy" w:eastAsia="思源黑体 CN Heavy"/>
                                <w:color w:val="A6A6A6" w:themeColor="background1" w:themeShade="A6"/>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WAAAAZHJzL1BLAQIUABQAAAAI&#10;AIdO4kBZqWWv2AAAAAsBAAAPAAAAAAAAAAEAIAAAADgAAABkcnMvZG93bnJldi54bWxQSwECFAAU&#10;AAAACACHTuJA4tWDv6IBAAAUAwAADgAAAAAAAAABACAAAAA9AQAAZHJzL2Uyb0RvYy54bWxQSwUG&#10;AAAAAAYABgBZAQAAUQUAAAAA&#10;">
                <v:fill on="f" focussize="0,0"/>
                <v:stroke on="f"/>
                <v:imagedata o:title=""/>
                <o:lock v:ext="edit" aspectratio="f"/>
                <v:textbox>
                  <w:txbxContent>
                    <w:p>
                      <w:pPr>
                        <w:jc w:val="distribute"/>
                        <w:rPr>
                          <w:rFonts w:hint="eastAsia" w:ascii="思源黑体 CN Heavy" w:hAnsi="思源黑体 CN Heavy" w:eastAsia="思源黑体 CN Heavy"/>
                          <w:color w:val="A6A6A6" w:themeColor="background1" w:themeShade="A6"/>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：438004</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：石家庄市对外交流合作中心</w:t>
      </w:r>
    </w:p>
    <w:p>
      <w:pPr>
        <w:spacing w:line="600" w:lineRule="auto"/>
        <w:jc w:val="left"/>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p>
      <w:pPr>
        <w:rPr>
          <w:rFonts w:ascii="黑体" w:hAnsi="Times New Roman" w:eastAsia="黑体" w:cs="Times New Roman"/>
          <w:sz w:val="48"/>
          <w:szCs w:val="48"/>
        </w:rPr>
      </w:pPr>
      <w:r>
        <w:rPr>
          <w:rFonts w:hint="eastAsia" w:ascii="楷体_GB2312" w:hAnsi="楷体_GB2312" w:eastAsia="楷体_GB2312" w:cs="楷体_GB2312"/>
          <w:color w:val="000000"/>
          <w:sz w:val="40"/>
          <w:szCs w:val="40"/>
        </w:rPr>
        <w:br w:type="page"/>
      </w: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ascii="Arial" w:hAnsi="Arial" w:eastAsia="Arial" w:cs="Arial"/>
          <w:color w:val="000000"/>
          <w:sz w:val="18"/>
          <w:szCs w:val="18"/>
          <w:shd w:val="clear" w:color="auto" w:fill="FFFFFF"/>
        </w:rPr>
      </w:pP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rPr>
          <w:rFonts w:ascii="Arial" w:hAnsi="Arial" w:eastAsia="Arial" w:cs="Arial"/>
          <w:color w:val="000000"/>
          <w:sz w:val="18"/>
          <w:szCs w:val="18"/>
          <w:shd w:val="clear" w:color="auto" w:fill="FFFFFF"/>
        </w:rPr>
      </w:pPr>
    </w:p>
    <w:p>
      <w:pPr>
        <w:pStyle w:val="10"/>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pPr>
        <w:pStyle w:val="10"/>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pPr>
        <w:pStyle w:val="10"/>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pPr>
        <w:pStyle w:val="10"/>
        <w:widowControl/>
        <w:shd w:val="clear" w:color="auto" w:fill="FFFFFF"/>
        <w:spacing w:beforeAutospacing="0" w:afterAutospacing="0"/>
        <w:jc w:val="center"/>
        <w:rPr>
          <w:rFonts w:ascii="Arial" w:hAnsi="Arial" w:eastAsia="Arial" w:cs="Arial"/>
          <w:color w:val="000000"/>
          <w:sz w:val="18"/>
          <w:szCs w:val="18"/>
        </w:rPr>
      </w:pPr>
      <w:r>
        <w:rPr>
          <w:rFonts w:hint="eastAsia" w:ascii="黑体" w:hAnsi="宋体" w:eastAsia="黑体" w:cs="黑体"/>
          <w:color w:val="000000"/>
          <w:sz w:val="72"/>
          <w:szCs w:val="72"/>
          <w:shd w:val="clear" w:color="auto" w:fill="FFFFFF"/>
        </w:rPr>
        <w:t>第一部分  单位概况</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rPr>
          <w:rFonts w:hint="eastAsia"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br w:type="page"/>
      </w:r>
    </w:p>
    <w:p>
      <w:pPr>
        <w:pStyle w:val="10"/>
        <w:widowControl/>
        <w:shd w:val="clear" w:color="auto" w:fill="FFFFFF"/>
        <w:spacing w:beforeAutospacing="0" w:afterAutospacing="0"/>
        <w:outlineLvl w:val="1"/>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一、单位职责</w:t>
      </w:r>
    </w:p>
    <w:p>
      <w:pPr>
        <w:pStyle w:val="10"/>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仿宋" w:hAnsi="仿宋" w:eastAsia="仿宋" w:cs="仿宋"/>
          <w:kern w:val="0"/>
          <w:sz w:val="32"/>
          <w:szCs w:val="32"/>
          <w:lang w:eastAsia="zh-CN"/>
        </w:rPr>
      </w:pPr>
      <w:r>
        <w:rPr>
          <w:rFonts w:hint="eastAsia" w:eastAsia="仿宋_GB2312"/>
          <w:bCs/>
          <w:sz w:val="32"/>
          <w:szCs w:val="32"/>
          <w:lang w:val="en-US" w:eastAsia="zh-CN"/>
        </w:rPr>
        <w:t>为开展对外经济技术、文化教育交流合作提供信息、联络等相关服务；按照主管单位外事办统一安排，配合完成外事办各项工作。</w:t>
      </w:r>
    </w:p>
    <w:p>
      <w:pPr>
        <w:pStyle w:val="10"/>
        <w:widowControl/>
        <w:shd w:val="clear" w:color="auto" w:fill="FFFFFF"/>
        <w:spacing w:beforeAutospacing="0" w:afterAutospacing="0"/>
        <w:outlineLvl w:val="1"/>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二、机构设置</w:t>
      </w:r>
    </w:p>
    <w:p>
      <w:pPr>
        <w:pStyle w:val="10"/>
        <w:widowControl/>
        <w:shd w:val="clear" w:color="auto" w:fill="FFFFFF"/>
        <w:spacing w:beforeAutospacing="0" w:afterAutospacing="0"/>
        <w:ind w:firstLine="640" w:firstLineChars="200"/>
        <w:rPr>
          <w:rFonts w:hint="eastAsia" w:ascii="仿宋_GB2312" w:hAnsi="仿宋_GB2312" w:eastAsia="仿宋_GB2312" w:cs="仿宋_GB2312"/>
          <w:sz w:val="32"/>
          <w:szCs w:val="32"/>
          <w:shd w:val="clear" w:color="auto" w:fill="FFFFFF"/>
        </w:rPr>
      </w:pPr>
      <w:r>
        <w:rPr>
          <w:rFonts w:ascii="仿宋_GB2312" w:hAnsi="仿宋_GB2312" w:eastAsia="仿宋_GB2312" w:cs="仿宋_GB2312"/>
          <w:sz w:val="32"/>
          <w:szCs w:val="32"/>
          <w:shd w:val="clear" w:color="auto" w:fill="FFFFFF"/>
        </w:rPr>
        <w:t>从决算编报</w:t>
      </w:r>
      <w:r>
        <w:rPr>
          <w:rFonts w:hint="eastAsia" w:ascii="仿宋_GB2312" w:hAnsi="仿宋_GB2312" w:eastAsia="仿宋_GB2312" w:cs="仿宋_GB2312"/>
          <w:sz w:val="32"/>
          <w:szCs w:val="32"/>
          <w:shd w:val="clear" w:color="auto" w:fill="FFFFFF"/>
        </w:rPr>
        <w:t>单位</w:t>
      </w:r>
      <w:r>
        <w:rPr>
          <w:rFonts w:ascii="仿宋_GB2312" w:hAnsi="仿宋_GB2312" w:eastAsia="仿宋_GB2312" w:cs="仿宋_GB2312"/>
          <w:sz w:val="32"/>
          <w:szCs w:val="32"/>
          <w:shd w:val="clear" w:color="auto" w:fill="FFFFFF"/>
        </w:rPr>
        <w:t>构成看，纳入</w:t>
      </w:r>
      <w:r>
        <w:rPr>
          <w:rFonts w:hint="eastAsia" w:ascii="仿宋_GB2312" w:hAnsi="仿宋_GB2312" w:eastAsia="仿宋_GB2312" w:cs="仿宋_GB2312"/>
          <w:sz w:val="32"/>
          <w:szCs w:val="32"/>
          <w:shd w:val="clear" w:color="auto" w:fill="FFFFFF"/>
        </w:rPr>
        <w:t>2023</w:t>
      </w:r>
      <w:r>
        <w:rPr>
          <w:rFonts w:ascii="仿宋_GB2312" w:hAnsi="仿宋_GB2312" w:eastAsia="仿宋_GB2312" w:cs="仿宋_GB2312"/>
          <w:sz w:val="32"/>
          <w:szCs w:val="32"/>
          <w:shd w:val="clear" w:color="auto" w:fill="FFFFFF"/>
        </w:rPr>
        <w:t>年度</w:t>
      </w:r>
      <w:r>
        <w:rPr>
          <w:rFonts w:hint="eastAsia" w:ascii="仿宋_GB2312" w:hAnsi="仿宋_GB2312" w:eastAsia="仿宋_GB2312" w:cs="仿宋_GB2312"/>
          <w:sz w:val="32"/>
          <w:szCs w:val="32"/>
          <w:shd w:val="clear" w:color="auto" w:fill="FFFFFF"/>
        </w:rPr>
        <w:t>本</w:t>
      </w:r>
      <w:r>
        <w:rPr>
          <w:rFonts w:hint="eastAsia" w:ascii="仿宋_GB2312" w:hAnsi="仿宋_GB2312" w:eastAsia="仿宋_GB2312" w:cs="仿宋_GB2312"/>
          <w:sz w:val="32"/>
          <w:szCs w:val="32"/>
          <w:shd w:val="clear" w:color="auto" w:fill="FFFFFF"/>
          <w:lang w:eastAsia="zh-CN"/>
        </w:rPr>
        <w:t>单位</w:t>
      </w:r>
      <w:r>
        <w:rPr>
          <w:rFonts w:ascii="仿宋_GB2312" w:hAnsi="仿宋_GB2312" w:eastAsia="仿宋_GB2312" w:cs="仿宋_GB2312"/>
          <w:sz w:val="32"/>
          <w:szCs w:val="32"/>
          <w:shd w:val="clear" w:color="auto" w:fill="FFFFFF"/>
        </w:rPr>
        <w:t>决算汇编范围的独立核算</w:t>
      </w:r>
      <w:r>
        <w:rPr>
          <w:rFonts w:hint="eastAsia" w:ascii="仿宋_GB2312" w:hAnsi="仿宋_GB2312" w:eastAsia="仿宋_GB2312" w:cs="仿宋_GB2312"/>
          <w:sz w:val="32"/>
          <w:szCs w:val="32"/>
          <w:shd w:val="clear" w:color="auto" w:fill="FFFFFF"/>
        </w:rPr>
        <w:t>单位</w:t>
      </w:r>
      <w:r>
        <w:rPr>
          <w:rFonts w:ascii="仿宋_GB2312" w:hAnsi="仿宋_GB2312" w:eastAsia="仿宋_GB2312" w:cs="仿宋_GB2312"/>
          <w:sz w:val="32"/>
          <w:szCs w:val="32"/>
          <w:shd w:val="clear" w:color="auto" w:fill="FFFFFF"/>
        </w:rPr>
        <w:t>（以下简称“</w:t>
      </w:r>
      <w:r>
        <w:rPr>
          <w:rFonts w:hint="eastAsia" w:ascii="仿宋_GB2312" w:hAnsi="仿宋_GB2312" w:eastAsia="仿宋_GB2312" w:cs="仿宋_GB2312"/>
          <w:sz w:val="32"/>
          <w:szCs w:val="32"/>
          <w:shd w:val="clear" w:color="auto" w:fill="FFFFFF"/>
        </w:rPr>
        <w:t>单位</w:t>
      </w:r>
      <w:r>
        <w:rPr>
          <w:rFonts w:ascii="仿宋_GB2312" w:hAnsi="仿宋_GB2312" w:eastAsia="仿宋_GB2312" w:cs="仿宋_GB2312"/>
          <w:sz w:val="32"/>
          <w:szCs w:val="32"/>
          <w:shd w:val="clear" w:color="auto" w:fill="FFFFFF"/>
        </w:rPr>
        <w:t>”）共 xx个，具体情况如下：</w:t>
      </w:r>
    </w:p>
    <w:tbl>
      <w:tblPr>
        <w:tblStyle w:val="11"/>
        <w:tblpPr w:leftFromText="180" w:rightFromText="180" w:vertAnchor="text" w:horzAnchor="page" w:tblpXSpec="center" w:tblpY="10"/>
        <w:tblOverlap w:val="never"/>
        <w:tblW w:w="85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3324"/>
        <w:gridCol w:w="1944"/>
        <w:gridCol w:w="24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851" w:type="dxa"/>
            <w:vAlign w:val="center"/>
          </w:tcPr>
          <w:p>
            <w:pPr>
              <w:spacing w:after="0"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kern w:val="0"/>
                <w:sz w:val="28"/>
                <w:szCs w:val="28"/>
              </w:rPr>
              <w:t>序号</w:t>
            </w:r>
          </w:p>
        </w:tc>
        <w:tc>
          <w:tcPr>
            <w:tcW w:w="3324" w:type="dxa"/>
            <w:vAlign w:val="center"/>
          </w:tcPr>
          <w:p>
            <w:pPr>
              <w:spacing w:after="0"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kern w:val="0"/>
                <w:sz w:val="28"/>
                <w:szCs w:val="28"/>
              </w:rPr>
              <w:t>单位名称</w:t>
            </w:r>
          </w:p>
        </w:tc>
        <w:tc>
          <w:tcPr>
            <w:tcW w:w="1944" w:type="dxa"/>
            <w:vAlign w:val="center"/>
          </w:tcPr>
          <w:p>
            <w:pPr>
              <w:spacing w:after="0"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kern w:val="0"/>
                <w:sz w:val="28"/>
                <w:szCs w:val="28"/>
              </w:rPr>
              <w:t>单位基本性质</w:t>
            </w:r>
          </w:p>
        </w:tc>
        <w:tc>
          <w:tcPr>
            <w:tcW w:w="2400" w:type="dxa"/>
            <w:vAlign w:val="center"/>
          </w:tcPr>
          <w:p>
            <w:pPr>
              <w:spacing w:after="0"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851" w:type="dxa"/>
            <w:vAlign w:val="center"/>
          </w:tcPr>
          <w:p>
            <w:pPr>
              <w:spacing w:after="0" w:line="560" w:lineRule="exact"/>
              <w:jc w:val="center"/>
              <w:rPr>
                <w:rFonts w:ascii="仿宋_GB2312" w:hAnsi="Calibri" w:eastAsia="仿宋_GB2312" w:cs="ArialUnicodeMS"/>
                <w:sz w:val="28"/>
                <w:szCs w:val="28"/>
              </w:rPr>
            </w:pPr>
            <w:r>
              <w:rPr>
                <w:rFonts w:hint="eastAsia" w:ascii="仿宋" w:hAnsi="仿宋" w:eastAsia="仿宋" w:cs="仿宋"/>
                <w:kern w:val="0"/>
                <w:sz w:val="24"/>
                <w:szCs w:val="24"/>
                <w:lang w:val="en-US" w:eastAsia="zh-CN"/>
              </w:rPr>
              <w:t>1</w:t>
            </w:r>
          </w:p>
        </w:tc>
        <w:tc>
          <w:tcPr>
            <w:tcW w:w="3324" w:type="dxa"/>
            <w:vAlign w:val="top"/>
          </w:tcPr>
          <w:p>
            <w:pPr>
              <w:spacing w:after="0" w:line="560" w:lineRule="exact"/>
              <w:rPr>
                <w:rFonts w:ascii="仿宋_GB2312" w:hAnsi="Calibri" w:eastAsia="仿宋_GB2312" w:cs="ArialUnicodeMS"/>
                <w:sz w:val="28"/>
                <w:szCs w:val="28"/>
              </w:rPr>
            </w:pPr>
            <w:r>
              <w:rPr>
                <w:rFonts w:hint="eastAsia" w:ascii="仿宋" w:hAnsi="仿宋" w:eastAsia="仿宋" w:cs="仿宋"/>
                <w:kern w:val="0"/>
                <w:sz w:val="24"/>
                <w:szCs w:val="24"/>
                <w:lang w:eastAsia="zh-CN"/>
              </w:rPr>
              <w:t>石家庄市对外交流合作中心</w:t>
            </w:r>
          </w:p>
        </w:tc>
        <w:tc>
          <w:tcPr>
            <w:tcW w:w="1944" w:type="dxa"/>
            <w:vAlign w:val="top"/>
          </w:tcPr>
          <w:p>
            <w:pPr>
              <w:widowControl/>
              <w:numPr>
                <w:ilvl w:val="0"/>
                <w:numId w:val="0"/>
              </w:numPr>
              <w:spacing w:after="160" w:line="580" w:lineRule="exact"/>
              <w:ind w:left="0" w:leftChars="0" w:firstLine="480" w:firstLineChars="200"/>
              <w:jc w:val="both"/>
              <w:rPr>
                <w:rFonts w:ascii="仿宋_GB2312" w:hAnsi="Calibri" w:eastAsia="仿宋_GB2312" w:cs="ArialUnicodeMS"/>
                <w:sz w:val="28"/>
                <w:szCs w:val="28"/>
              </w:rPr>
            </w:pPr>
            <w:r>
              <w:rPr>
                <w:rFonts w:hint="eastAsia" w:ascii="仿宋" w:hAnsi="仿宋" w:eastAsia="仿宋" w:cs="仿宋"/>
                <w:sz w:val="24"/>
                <w:szCs w:val="24"/>
              </w:rPr>
              <w:t>事业单位</w:t>
            </w:r>
          </w:p>
        </w:tc>
        <w:tc>
          <w:tcPr>
            <w:tcW w:w="2400" w:type="dxa"/>
            <w:vAlign w:val="top"/>
          </w:tcPr>
          <w:p>
            <w:pPr>
              <w:widowControl/>
              <w:numPr>
                <w:ilvl w:val="0"/>
                <w:numId w:val="0"/>
              </w:numPr>
              <w:spacing w:after="160" w:line="580" w:lineRule="exact"/>
              <w:ind w:left="0" w:leftChars="0" w:firstLine="0" w:firstLineChars="0"/>
              <w:jc w:val="both"/>
              <w:rPr>
                <w:rFonts w:ascii="仿宋_GB2312" w:hAnsi="Calibri" w:eastAsia="仿宋_GB2312" w:cs="ArialUnicodeMS"/>
                <w:sz w:val="28"/>
                <w:szCs w:val="28"/>
              </w:rPr>
            </w:pPr>
            <w:r>
              <w:rPr>
                <w:rFonts w:hint="eastAsia" w:ascii="仿宋" w:hAnsi="仿宋" w:eastAsia="仿宋" w:cs="仿宋"/>
                <w:sz w:val="24"/>
                <w:szCs w:val="24"/>
              </w:rPr>
              <w:t>财政性资金基本保证</w:t>
            </w:r>
          </w:p>
        </w:tc>
      </w:tr>
    </w:tbl>
    <w:p>
      <w:pPr>
        <w:spacing w:line="560" w:lineRule="exact"/>
        <w:jc w:val="left"/>
        <w:rPr>
          <w:rFonts w:ascii="仿宋_GB2312" w:hAnsi="Calibri" w:eastAsia="仿宋_GB2312" w:cs="ArialUnicodeMS"/>
          <w:sz w:val="28"/>
          <w:szCs w:val="28"/>
        </w:rPr>
      </w:pPr>
      <w:r>
        <w:rPr>
          <w:rFonts w:hint="eastAsia" w:ascii="仿宋_GB2312" w:hAnsi="Calibri" w:eastAsia="仿宋_GB2312" w:cs="ArialUnicodeMS"/>
          <w:sz w:val="28"/>
          <w:szCs w:val="28"/>
        </w:rPr>
        <w:t>注：1、单位基本性质分为行政单位、参公事业单位、财政补助事业单位、经费自理事业单位四类。</w:t>
      </w:r>
    </w:p>
    <w:p>
      <w:pPr>
        <w:widowControl/>
        <w:spacing w:after="160" w:line="580" w:lineRule="exact"/>
        <w:ind w:firstLine="560" w:firstLineChars="200"/>
        <w:rPr>
          <w:rFonts w:ascii="Times New Roman" w:hAnsi="Times New Roman" w:eastAsia="黑体" w:cs="Times New Roman"/>
          <w:sz w:val="32"/>
          <w:szCs w:val="32"/>
          <w:highlight w:val="yellow"/>
        </w:rPr>
      </w:pPr>
      <w:r>
        <w:rPr>
          <w:rFonts w:hint="eastAsia" w:ascii="仿宋_GB2312" w:hAnsi="Calibri" w:eastAsia="仿宋_GB2312" w:cs="ArialUnicodeMS"/>
          <w:sz w:val="28"/>
          <w:szCs w:val="28"/>
        </w:rPr>
        <w:t>2、经费形式分为财政拨款、财政性资金基本保证、财政性资金定额或定项补助、财政性资金零补助四类</w:t>
      </w:r>
    </w:p>
    <w:p>
      <w:pPr>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ascii="Times New Roman" w:hAnsi="Times New Roman" w:eastAsia="黑体" w:cs="Times New Roman"/>
          <w:sz w:val="32"/>
          <w:szCs w:val="32"/>
          <w:highlight w:val="yellow"/>
        </w:rPr>
      </w:pPr>
    </w:p>
    <w:p>
      <w:pPr>
        <w:pStyle w:val="10"/>
        <w:widowControl/>
        <w:shd w:val="clear" w:color="auto" w:fill="FFFFFF"/>
        <w:spacing w:beforeAutospacing="0" w:afterAutospacing="0"/>
        <w:rPr>
          <w:rFonts w:ascii="Arial" w:hAnsi="Arial" w:eastAsia="Arial" w:cs="Arial"/>
          <w:color w:val="000000"/>
          <w:sz w:val="18"/>
          <w:szCs w:val="18"/>
          <w:shd w:val="clear" w:color="auto" w:fill="FFFFFF"/>
          <w:lang w:bidi="ar"/>
        </w:rPr>
      </w:pPr>
    </w:p>
    <w:p>
      <w:pPr>
        <w:widowControl/>
        <w:shd w:val="clear" w:color="auto" w:fill="FFFFFF"/>
        <w:jc w:val="left"/>
        <w:rPr>
          <w:rFonts w:ascii="Arial" w:hAnsi="Arial" w:eastAsia="Arial" w:cs="Arial"/>
        </w:rPr>
      </w:pPr>
      <w:r>
        <w:rPr>
          <w:rFonts w:ascii="Arial" w:hAnsi="Arial" w:eastAsia="Arial" w:cs="Arial"/>
          <w:color w:val="000000"/>
          <w:sz w:val="18"/>
          <w:szCs w:val="18"/>
          <w:shd w:val="clear" w:color="auto" w:fill="FFFFFF"/>
          <w:lang w:bidi="ar"/>
        </w:rPr>
        <w:t> </w:t>
      </w: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第二部分</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2023年度</w:t>
      </w:r>
      <w:r>
        <w:rPr>
          <w:rFonts w:hint="eastAsia" w:ascii="黑体" w:hAnsi="宋体" w:eastAsia="黑体" w:cs="黑体"/>
          <w:color w:val="000000"/>
          <w:sz w:val="72"/>
          <w:szCs w:val="72"/>
          <w:shd w:val="clear" w:color="auto" w:fill="FFFFFF"/>
          <w:lang w:eastAsia="zh-CN"/>
        </w:rPr>
        <w:t>单位</w:t>
      </w:r>
      <w:r>
        <w:rPr>
          <w:rFonts w:hint="eastAsia" w:ascii="黑体" w:hAnsi="宋体" w:eastAsia="黑体" w:cs="黑体"/>
          <w:color w:val="000000"/>
          <w:sz w:val="72"/>
          <w:szCs w:val="72"/>
          <w:shd w:val="clear" w:color="auto" w:fill="FFFFFF"/>
          <w:lang w:val="en-US" w:eastAsia="zh-CN"/>
        </w:rPr>
        <w:tab/>
      </w:r>
      <w:r>
        <w:rPr>
          <w:rFonts w:hint="eastAsia" w:ascii="黑体" w:hAnsi="宋体" w:eastAsia="黑体" w:cs="黑体"/>
          <w:color w:val="000000"/>
          <w:sz w:val="72"/>
          <w:szCs w:val="72"/>
          <w:shd w:val="clear" w:color="auto" w:fill="FFFFFF"/>
        </w:rPr>
        <w:t>决算报表</w:t>
      </w:r>
    </w:p>
    <w:p>
      <w:pPr>
        <w:pStyle w:val="10"/>
        <w:widowControl/>
        <w:spacing w:beforeAutospacing="0" w:afterAutospacing="0"/>
        <w:jc w:val="center"/>
        <w:rPr>
          <w:rFonts w:hint="eastAsia" w:ascii="仿宋_GB2312" w:hAnsi="仿宋_GB2312" w:eastAsia="仿宋_GB2312" w:cs="仿宋_GB2312"/>
          <w:color w:val="FF0000"/>
          <w:sz w:val="33"/>
          <w:szCs w:val="33"/>
          <w:shd w:val="clear" w:color="auto" w:fill="FFFFFF"/>
        </w:rPr>
      </w:pPr>
    </w:p>
    <w:p>
      <w:pPr>
        <w:pStyle w:val="10"/>
        <w:widowControl/>
        <w:spacing w:beforeAutospacing="0" w:afterAutospacing="0"/>
        <w:jc w:val="center"/>
        <w:rPr>
          <w:rFonts w:hint="eastAsia" w:ascii="仿宋_GB2312" w:hAnsi="仿宋_GB2312" w:eastAsia="仿宋_GB2312" w:cs="仿宋_GB2312"/>
          <w:color w:val="FF0000"/>
          <w:sz w:val="33"/>
          <w:szCs w:val="33"/>
          <w:shd w:val="clear" w:color="auto" w:fill="FFFFFF"/>
        </w:rPr>
        <w:sectPr>
          <w:headerReference r:id="rId7" w:type="default"/>
          <w:pgSz w:w="11906" w:h="16838"/>
          <w:pgMar w:top="1531" w:right="1984" w:bottom="1531" w:left="2098" w:header="851" w:footer="992" w:gutter="0"/>
          <w:cols w:space="720" w:num="1"/>
          <w:docGrid w:type="lines" w:linePitch="312" w:charSpace="0"/>
        </w:sectPr>
      </w:pPr>
    </w:p>
    <w:tbl>
      <w:tblPr>
        <w:tblStyle w:val="11"/>
        <w:tblW w:w="5000" w:type="pct"/>
        <w:tblInd w:w="0" w:type="dxa"/>
        <w:tblLayout w:type="autofit"/>
        <w:tblCellMar>
          <w:top w:w="0" w:type="dxa"/>
          <w:left w:w="108" w:type="dxa"/>
          <w:bottom w:w="0" w:type="dxa"/>
          <w:right w:w="108" w:type="dxa"/>
        </w:tblCellMar>
      </w:tblPr>
      <w:tblGrid>
        <w:gridCol w:w="3456"/>
        <w:gridCol w:w="1410"/>
        <w:gridCol w:w="299"/>
        <w:gridCol w:w="2045"/>
        <w:gridCol w:w="2219"/>
        <w:gridCol w:w="749"/>
        <w:gridCol w:w="1741"/>
        <w:gridCol w:w="2073"/>
      </w:tblGrid>
      <w:tr>
        <w:tblPrEx>
          <w:tblCellMar>
            <w:top w:w="0" w:type="dxa"/>
            <w:left w:w="108" w:type="dxa"/>
            <w:bottom w:w="0" w:type="dxa"/>
            <w:right w:w="108" w:type="dxa"/>
          </w:tblCellMar>
        </w:tblPrEx>
        <w:trPr>
          <w:trHeight w:val="361" w:hRule="atLeast"/>
        </w:trPr>
        <w:tc>
          <w:tcPr>
            <w:tcW w:w="5000" w:type="pct"/>
            <w:gridSpan w:val="8"/>
            <w:tcBorders>
              <w:top w:val="nil"/>
              <w:left w:val="nil"/>
              <w:bottom w:val="nil"/>
              <w:right w:val="nil"/>
            </w:tcBorders>
            <w:noWrap/>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收入支出决算总表</w:t>
            </w:r>
          </w:p>
        </w:tc>
      </w:tr>
      <w:tr>
        <w:tblPrEx>
          <w:tblCellMar>
            <w:top w:w="0" w:type="dxa"/>
            <w:left w:w="108" w:type="dxa"/>
            <w:bottom w:w="0" w:type="dxa"/>
            <w:right w:w="108" w:type="dxa"/>
          </w:tblCellMar>
        </w:tblPrEx>
        <w:trPr>
          <w:trHeight w:val="90" w:hRule="atLeast"/>
        </w:trPr>
        <w:tc>
          <w:tcPr>
            <w:tcW w:w="5000" w:type="pct"/>
            <w:gridSpan w:val="8"/>
            <w:tcBorders>
              <w:top w:val="nil"/>
              <w:left w:val="nil"/>
              <w:bottom w:val="nil"/>
              <w:right w:val="nil"/>
            </w:tcBorders>
            <w:noWrap/>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hint="eastAsia" w:ascii="Times New Roman" w:hAnsi="Times New Roman" w:eastAsia="宋体" w:cs="Times New Roman"/>
                <w:color w:val="000000"/>
                <w:sz w:val="18"/>
                <w:szCs w:val="18"/>
              </w:rPr>
              <w:t>01</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1666" w:type="pct"/>
            <w:gridSpan w:val="2"/>
            <w:tcBorders>
              <w:top w:val="nil"/>
              <w:left w:val="nil"/>
              <w:bottom w:val="single" w:color="auto" w:sz="4" w:space="0"/>
              <w:right w:val="nil"/>
            </w:tcBorders>
            <w:noWrap/>
            <w:vAlign w:val="bottom"/>
          </w:tcPr>
          <w:p>
            <w:pP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编制单位：石家庄市对外交流合作中心</w:t>
            </w:r>
          </w:p>
        </w:tc>
        <w:tc>
          <w:tcPr>
            <w:tcW w:w="1666" w:type="pct"/>
            <w:gridSpan w:val="3"/>
            <w:tcBorders>
              <w:top w:val="nil"/>
              <w:left w:val="nil"/>
              <w:bottom w:val="single" w:color="auto" w:sz="4" w:space="0"/>
              <w:right w:val="nil"/>
            </w:tcBorders>
            <w:noWrap/>
            <w:vAlign w:val="bottom"/>
          </w:tcPr>
          <w:p>
            <w:pPr>
              <w:jc w:val="center"/>
              <w:rPr>
                <w:rFonts w:hint="eastAsia" w:ascii="宋体" w:hAnsi="宋体" w:eastAsia="宋体"/>
                <w:color w:val="000000"/>
                <w:sz w:val="18"/>
                <w:szCs w:val="18"/>
                <w:lang w:bidi="ar"/>
              </w:rPr>
            </w:pPr>
            <w:r>
              <w:rPr>
                <w:rFonts w:hint="eastAsia" w:ascii="Times New Roman" w:hAnsi="Times New Roman" w:eastAsia="宋体" w:cs="Times New Roman"/>
                <w:color w:val="000000"/>
                <w:sz w:val="18"/>
                <w:szCs w:val="18"/>
              </w:rPr>
              <w:t>2023</w:t>
            </w:r>
            <w:r>
              <w:rPr>
                <w:rFonts w:hint="eastAsia" w:ascii="方正仿宋_GB2312" w:hAnsi="方正仿宋_GB2312" w:eastAsia="方正仿宋_GB2312" w:cs="方正仿宋_GB2312"/>
                <w:color w:val="000000"/>
                <w:sz w:val="18"/>
                <w:szCs w:val="18"/>
                <w:lang w:bidi="ar"/>
              </w:rPr>
              <w:t>年度</w:t>
            </w:r>
          </w:p>
        </w:tc>
        <w:tc>
          <w:tcPr>
            <w:tcW w:w="1667" w:type="pct"/>
            <w:gridSpan w:val="3"/>
            <w:tcBorders>
              <w:top w:val="nil"/>
              <w:left w:val="nil"/>
              <w:bottom w:val="single" w:color="auto" w:sz="4" w:space="0"/>
              <w:right w:val="nil"/>
            </w:tcBorders>
            <w:noWrap/>
            <w:vAlign w:val="bottom"/>
          </w:tcPr>
          <w:p>
            <w:pPr>
              <w:jc w:val="right"/>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308" w:hRule="atLeast"/>
        </w:trPr>
        <w:tc>
          <w:tcPr>
            <w:tcW w:w="2528" w:type="pct"/>
            <w:gridSpan w:val="4"/>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收入</w:t>
            </w:r>
          </w:p>
        </w:tc>
        <w:tc>
          <w:tcPr>
            <w:tcW w:w="2471" w:type="pct"/>
            <w:gridSpan w:val="4"/>
            <w:tcBorders>
              <w:top w:val="single" w:color="auto" w:sz="4" w:space="0"/>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支出</w:t>
            </w: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742" w:type="pct"/>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决算数</w:t>
            </w:r>
          </w:p>
        </w:tc>
        <w:tc>
          <w:tcPr>
            <w:tcW w:w="1083" w:type="pct"/>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751" w:type="pct"/>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635" w:type="pct"/>
            <w:gridSpan w:val="2"/>
            <w:tcBorders>
              <w:top w:val="nil"/>
              <w:left w:val="nil"/>
              <w:bottom w:val="single" w:color="000000" w:sz="4" w:space="0"/>
              <w:right w:val="single" w:color="000000" w:sz="4" w:space="0"/>
            </w:tcBorders>
            <w:noWrap/>
            <w:vAlign w:val="center"/>
          </w:tcPr>
          <w:p>
            <w:pPr>
              <w:jc w:val="center"/>
              <w:rPr>
                <w:rFonts w:hint="eastAsia" w:ascii="宋体" w:hAnsi="宋体" w:eastAsia="宋体"/>
                <w:color w:val="000000"/>
                <w:sz w:val="18"/>
                <w:szCs w:val="18"/>
              </w:rPr>
            </w:pPr>
          </w:p>
        </w:tc>
        <w:tc>
          <w:tcPr>
            <w:tcW w:w="742" w:type="pct"/>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Times New Roman" w:hAnsi="Times New Roman" w:eastAsia="宋体" w:cs="Times New Roman"/>
                <w:color w:val="000000"/>
                <w:sz w:val="18"/>
                <w:szCs w:val="18"/>
              </w:rPr>
              <w:t>1</w:t>
            </w:r>
          </w:p>
        </w:tc>
        <w:tc>
          <w:tcPr>
            <w:tcW w:w="1083" w:type="pct"/>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636" w:type="pct"/>
            <w:tcBorders>
              <w:top w:val="nil"/>
              <w:left w:val="nil"/>
              <w:bottom w:val="single" w:color="000000" w:sz="4" w:space="0"/>
              <w:right w:val="single" w:color="000000" w:sz="4" w:space="0"/>
            </w:tcBorders>
            <w:noWrap/>
            <w:vAlign w:val="center"/>
          </w:tcPr>
          <w:p>
            <w:pPr>
              <w:jc w:val="center"/>
              <w:rPr>
                <w:rFonts w:hint="eastAsia" w:ascii="宋体" w:hAnsi="宋体" w:eastAsia="宋体"/>
                <w:color w:val="000000"/>
                <w:sz w:val="18"/>
                <w:szCs w:val="18"/>
              </w:rPr>
            </w:pPr>
          </w:p>
        </w:tc>
        <w:tc>
          <w:tcPr>
            <w:tcW w:w="751" w:type="pct"/>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Times New Roman" w:hAnsi="Times New Roman" w:eastAsia="宋体" w:cs="Times New Roman"/>
                <w:color w:val="000000"/>
                <w:sz w:val="18"/>
                <w:szCs w:val="18"/>
              </w:rPr>
              <w:t>2</w:t>
            </w:r>
          </w:p>
        </w:tc>
      </w:tr>
      <w:tr>
        <w:tblPrEx>
          <w:tblCellMar>
            <w:top w:w="0" w:type="dxa"/>
            <w:left w:w="108" w:type="dxa"/>
            <w:bottom w:w="0" w:type="dxa"/>
            <w:right w:w="108" w:type="dxa"/>
          </w:tblCellMar>
        </w:tblPrEx>
        <w:trPr>
          <w:trHeight w:val="90" w:hRule="atLeast"/>
        </w:trPr>
        <w:tc>
          <w:tcPr>
            <w:tcW w:w="1150"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一、一般公共预算财政拨款收入</w:t>
            </w: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191.95</w:t>
            </w:r>
          </w:p>
        </w:tc>
        <w:tc>
          <w:tcPr>
            <w:tcW w:w="1083"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一、一般公共服务支出</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32</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133.95</w:t>
            </w: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二、政府性基金预算财政拨款收入</w:t>
            </w: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二、外交支出</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33</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三、国有资本经营预算财政拨款收入</w:t>
            </w: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三、国防支出</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34</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90" w:hRule="atLeast"/>
        </w:trPr>
        <w:tc>
          <w:tcPr>
            <w:tcW w:w="1150"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四、上级补助收入</w:t>
            </w: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四、公共安全支出</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35</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五、事业收入</w:t>
            </w: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五、教育支出</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36</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六、经营收入</w:t>
            </w: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六、科学技术支出</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37</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七、附属单位上缴收入</w:t>
            </w: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7</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七、文化旅游体育与传媒支出</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38</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八、其他收入</w:t>
            </w: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8</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八、社会保障和就业支出</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39</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33.08</w:t>
            </w: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9</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九、卫生健康支出</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10.91</w:t>
            </w: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10</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十、节能环保支出</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41</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11</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十一、城乡社区支出</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42</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12</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十二、农林水支出</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43</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13</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十三、交通运输支出</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44</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olor w:val="000000"/>
                <w:sz w:val="18"/>
                <w:szCs w:val="18"/>
              </w:rPr>
            </w:pPr>
          </w:p>
        </w:tc>
        <w:tc>
          <w:tcPr>
            <w:tcW w:w="635" w:type="pct"/>
            <w:gridSpan w:val="2"/>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14</w:t>
            </w:r>
          </w:p>
        </w:tc>
        <w:tc>
          <w:tcPr>
            <w:tcW w:w="742"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auto"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十四、资源勘探工业信息等支出</w:t>
            </w:r>
          </w:p>
        </w:tc>
        <w:tc>
          <w:tcPr>
            <w:tcW w:w="636"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45</w:t>
            </w:r>
          </w:p>
        </w:tc>
        <w:tc>
          <w:tcPr>
            <w:tcW w:w="751"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635"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15</w:t>
            </w:r>
          </w:p>
        </w:tc>
        <w:tc>
          <w:tcPr>
            <w:tcW w:w="74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十五、商业服务业等支出</w:t>
            </w:r>
          </w:p>
        </w:tc>
        <w:tc>
          <w:tcPr>
            <w:tcW w:w="6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46</w:t>
            </w:r>
          </w:p>
        </w:tc>
        <w:tc>
          <w:tcPr>
            <w:tcW w:w="75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635"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16</w:t>
            </w:r>
          </w:p>
        </w:tc>
        <w:tc>
          <w:tcPr>
            <w:tcW w:w="74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十六、金融支出</w:t>
            </w:r>
          </w:p>
        </w:tc>
        <w:tc>
          <w:tcPr>
            <w:tcW w:w="6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47</w:t>
            </w:r>
          </w:p>
        </w:tc>
        <w:tc>
          <w:tcPr>
            <w:tcW w:w="75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635"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17</w:t>
            </w:r>
          </w:p>
        </w:tc>
        <w:tc>
          <w:tcPr>
            <w:tcW w:w="74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十七、援助其他地区支出</w:t>
            </w:r>
          </w:p>
        </w:tc>
        <w:tc>
          <w:tcPr>
            <w:tcW w:w="6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48</w:t>
            </w:r>
          </w:p>
        </w:tc>
        <w:tc>
          <w:tcPr>
            <w:tcW w:w="75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635"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18</w:t>
            </w:r>
          </w:p>
        </w:tc>
        <w:tc>
          <w:tcPr>
            <w:tcW w:w="74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十八、自然资源海洋气象等支出</w:t>
            </w:r>
          </w:p>
        </w:tc>
        <w:tc>
          <w:tcPr>
            <w:tcW w:w="6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49</w:t>
            </w:r>
          </w:p>
        </w:tc>
        <w:tc>
          <w:tcPr>
            <w:tcW w:w="75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635"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19</w:t>
            </w:r>
          </w:p>
        </w:tc>
        <w:tc>
          <w:tcPr>
            <w:tcW w:w="74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十九、住房保障支出</w:t>
            </w:r>
          </w:p>
        </w:tc>
        <w:tc>
          <w:tcPr>
            <w:tcW w:w="6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50</w:t>
            </w:r>
          </w:p>
        </w:tc>
        <w:tc>
          <w:tcPr>
            <w:tcW w:w="75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14.01</w:t>
            </w:r>
          </w:p>
        </w:tc>
      </w:tr>
      <w:tr>
        <w:tblPrEx>
          <w:tblCellMar>
            <w:top w:w="0" w:type="dxa"/>
            <w:left w:w="108" w:type="dxa"/>
            <w:bottom w:w="0" w:type="dxa"/>
            <w:right w:w="108" w:type="dxa"/>
          </w:tblCellMar>
        </w:tblPrEx>
        <w:trPr>
          <w:trHeight w:val="308" w:hRule="atLeast"/>
        </w:trPr>
        <w:tc>
          <w:tcPr>
            <w:tcW w:w="115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635"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20</w:t>
            </w:r>
          </w:p>
        </w:tc>
        <w:tc>
          <w:tcPr>
            <w:tcW w:w="74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二十、粮油物资储备支出</w:t>
            </w:r>
          </w:p>
        </w:tc>
        <w:tc>
          <w:tcPr>
            <w:tcW w:w="6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51</w:t>
            </w:r>
          </w:p>
        </w:tc>
        <w:tc>
          <w:tcPr>
            <w:tcW w:w="75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635" w:type="pct"/>
            <w:gridSpan w:val="2"/>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21</w:t>
            </w:r>
          </w:p>
        </w:tc>
        <w:tc>
          <w:tcPr>
            <w:tcW w:w="742"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single" w:color="auto" w:sz="4" w:space="0"/>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二十一、国有资本经营预算支出</w:t>
            </w:r>
          </w:p>
        </w:tc>
        <w:tc>
          <w:tcPr>
            <w:tcW w:w="636"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52</w:t>
            </w:r>
          </w:p>
        </w:tc>
        <w:tc>
          <w:tcPr>
            <w:tcW w:w="751"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22</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二十二、灾害防治及应急管理支出</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53</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23</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二十三、其他支出</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54</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24</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二十四、债务还本支出</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55</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25</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二十五、债务付息支出</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56</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26</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二十六、抗疫特别国债安排的支出</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57</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本年收入合计</w:t>
            </w: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27</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191.95</w:t>
            </w:r>
          </w:p>
        </w:tc>
        <w:tc>
          <w:tcPr>
            <w:tcW w:w="1083" w:type="pct"/>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本年支出合计</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58</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191.95</w:t>
            </w: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使用非财政拨款结余（含专用结余）</w:t>
            </w: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28</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结余分配</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59</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年初结转和结余</w:t>
            </w: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29</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年末结转和结余</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60</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b/>
                <w:bCs/>
                <w:color w:val="000000"/>
                <w:sz w:val="18"/>
                <w:szCs w:val="18"/>
                <w:lang w:bidi="ar"/>
              </w:rPr>
            </w:pP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lang w:bidi="ar"/>
              </w:rPr>
            </w:pPr>
            <w:r>
              <w:rPr>
                <w:rFonts w:ascii="Times New Roman" w:hAnsi="Times New Roman" w:eastAsia="宋体" w:cs="Times New Roman"/>
                <w:color w:val="000000"/>
                <w:sz w:val="18"/>
                <w:szCs w:val="18"/>
                <w:lang w:bidi="ar"/>
              </w:rPr>
              <w:t>30</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b/>
                <w:bCs/>
                <w:color w:val="000000"/>
                <w:sz w:val="18"/>
                <w:szCs w:val="18"/>
                <w:lang w:bidi="ar"/>
              </w:rPr>
            </w:pP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lang w:bidi="ar"/>
              </w:rPr>
            </w:pPr>
            <w:r>
              <w:rPr>
                <w:rFonts w:ascii="Times New Roman" w:hAnsi="Times New Roman" w:eastAsia="宋体" w:cs="Times New Roman"/>
                <w:color w:val="000000"/>
                <w:sz w:val="18"/>
                <w:szCs w:val="18"/>
                <w:lang w:bidi="ar"/>
              </w:rPr>
              <w:t>61</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63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31</w:t>
            </w:r>
          </w:p>
        </w:tc>
        <w:tc>
          <w:tcPr>
            <w:tcW w:w="74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191.95</w:t>
            </w:r>
          </w:p>
        </w:tc>
        <w:tc>
          <w:tcPr>
            <w:tcW w:w="1083" w:type="pct"/>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63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62</w:t>
            </w:r>
          </w:p>
        </w:tc>
        <w:tc>
          <w:tcPr>
            <w:tcW w:w="7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191.95</w:t>
            </w:r>
          </w:p>
        </w:tc>
      </w:tr>
      <w:tr>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注：1.本表反映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本年度的总收支和年末结转结余情况。2.本套报表金额转换时可能存在尾数误差。</w:t>
            </w:r>
          </w:p>
        </w:tc>
      </w:tr>
    </w:tbl>
    <w:p>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1632" w:tblpY="-586"/>
        <w:tblOverlap w:val="never"/>
        <w:tblW w:w="0" w:type="auto"/>
        <w:tblInd w:w="0" w:type="dxa"/>
        <w:tblLayout w:type="autofit"/>
        <w:tblCellMar>
          <w:top w:w="0" w:type="dxa"/>
          <w:left w:w="108" w:type="dxa"/>
          <w:bottom w:w="0" w:type="dxa"/>
          <w:right w:w="108" w:type="dxa"/>
        </w:tblCellMar>
      </w:tblPr>
      <w:tblGrid>
        <w:gridCol w:w="936"/>
        <w:gridCol w:w="3032"/>
        <w:gridCol w:w="1296"/>
        <w:gridCol w:w="648"/>
        <w:gridCol w:w="648"/>
        <w:gridCol w:w="1296"/>
        <w:gridCol w:w="936"/>
        <w:gridCol w:w="468"/>
        <w:gridCol w:w="468"/>
        <w:gridCol w:w="1656"/>
        <w:gridCol w:w="936"/>
      </w:tblGrid>
      <w:tr>
        <w:tblPrEx>
          <w:tblCellMar>
            <w:top w:w="0" w:type="dxa"/>
            <w:left w:w="108" w:type="dxa"/>
            <w:bottom w:w="0" w:type="dxa"/>
            <w:right w:w="108" w:type="dxa"/>
          </w:tblCellMar>
        </w:tblPrEx>
        <w:trPr>
          <w:trHeight w:val="550" w:hRule="atLeast"/>
        </w:trPr>
        <w:tc>
          <w:tcPr>
            <w:tcW w:w="0" w:type="auto"/>
            <w:gridSpan w:val="11"/>
            <w:tcBorders>
              <w:top w:val="nil"/>
              <w:left w:val="nil"/>
              <w:bottom w:val="nil"/>
              <w:right w:val="nil"/>
            </w:tcBorders>
            <w:noWrap/>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收入决算表</w:t>
            </w:r>
          </w:p>
        </w:tc>
      </w:tr>
      <w:tr>
        <w:tblPrEx>
          <w:tblCellMar>
            <w:top w:w="0" w:type="dxa"/>
            <w:left w:w="108" w:type="dxa"/>
            <w:bottom w:w="0" w:type="dxa"/>
            <w:right w:w="108" w:type="dxa"/>
          </w:tblCellMar>
        </w:tblPrEx>
        <w:trPr>
          <w:trHeight w:val="300" w:hRule="atLeast"/>
        </w:trPr>
        <w:tc>
          <w:tcPr>
            <w:tcW w:w="0" w:type="auto"/>
            <w:gridSpan w:val="11"/>
            <w:tcBorders>
              <w:top w:val="nil"/>
              <w:left w:val="nil"/>
              <w:bottom w:val="nil"/>
              <w:right w:val="nil"/>
            </w:tcBorders>
            <w:noWrap/>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hint="eastAsia" w:ascii="Times New Roman" w:hAnsi="Times New Roman" w:eastAsia="宋体" w:cs="Times New Roman"/>
                <w:color w:val="000000"/>
                <w:sz w:val="18"/>
                <w:szCs w:val="18"/>
              </w:rPr>
              <w:t>02</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0" w:type="auto"/>
            <w:gridSpan w:val="4"/>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编制单位：石家庄市对外交流合作中心                                                                                                         </w:t>
            </w:r>
          </w:p>
        </w:tc>
        <w:tc>
          <w:tcPr>
            <w:tcW w:w="0" w:type="auto"/>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color w:val="000000"/>
                <w:sz w:val="18"/>
                <w:szCs w:val="18"/>
                <w:lang w:bidi="ar"/>
              </w:rPr>
            </w:pPr>
            <w:r>
              <w:rPr>
                <w:rFonts w:ascii="Times New Roman" w:hAnsi="Times New Roman" w:eastAsia="方正仿宋_GB2312" w:cs="Times New Roman"/>
                <w:color w:val="000000"/>
                <w:sz w:val="18"/>
                <w:szCs w:val="18"/>
              </w:rPr>
              <w:t>2023</w:t>
            </w:r>
            <w:r>
              <w:rPr>
                <w:rFonts w:hint="eastAsia" w:ascii="方正仿宋_GB2312" w:hAnsi="方正仿宋_GB2312" w:eastAsia="方正仿宋_GB2312" w:cs="方正仿宋_GB2312"/>
                <w:color w:val="000000"/>
                <w:sz w:val="18"/>
                <w:szCs w:val="18"/>
                <w:lang w:bidi="ar"/>
              </w:rPr>
              <w:t>年度</w:t>
            </w:r>
          </w:p>
        </w:tc>
        <w:tc>
          <w:tcPr>
            <w:tcW w:w="0" w:type="auto"/>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308" w:hRule="atLeast"/>
        </w:trPr>
        <w:tc>
          <w:tcPr>
            <w:tcW w:w="0" w:type="auto"/>
            <w:gridSpan w:val="2"/>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0" w:type="auto"/>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本年收入合计</w:t>
            </w:r>
          </w:p>
        </w:tc>
        <w:tc>
          <w:tcPr>
            <w:tcW w:w="0" w:type="auto"/>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财政拨款收入</w:t>
            </w:r>
          </w:p>
        </w:tc>
        <w:tc>
          <w:tcPr>
            <w:tcW w:w="0" w:type="auto"/>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上级补助收入</w:t>
            </w:r>
          </w:p>
        </w:tc>
        <w:tc>
          <w:tcPr>
            <w:tcW w:w="0" w:type="auto"/>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事业收入</w:t>
            </w:r>
          </w:p>
        </w:tc>
        <w:tc>
          <w:tcPr>
            <w:tcW w:w="0" w:type="auto"/>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经营收入</w:t>
            </w:r>
          </w:p>
        </w:tc>
        <w:tc>
          <w:tcPr>
            <w:tcW w:w="0" w:type="auto"/>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附属单位上缴收入</w:t>
            </w:r>
          </w:p>
        </w:tc>
        <w:tc>
          <w:tcPr>
            <w:tcW w:w="0" w:type="auto"/>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其他收入</w:t>
            </w:r>
          </w:p>
        </w:tc>
      </w:tr>
      <w:tr>
        <w:tblPrEx>
          <w:tblCellMar>
            <w:top w:w="0" w:type="dxa"/>
            <w:left w:w="108" w:type="dxa"/>
            <w:bottom w:w="0" w:type="dxa"/>
            <w:right w:w="108" w:type="dxa"/>
          </w:tblCellMar>
        </w:tblPrEx>
        <w:trPr>
          <w:trHeight w:val="312" w:hRule="atLeast"/>
        </w:trPr>
        <w:tc>
          <w:tcPr>
            <w:tcW w:w="0" w:type="auto"/>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0" w:type="auto"/>
            <w:vMerge w:val="restart"/>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0" w:type="auto"/>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0" w:type="auto"/>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0" w:type="auto"/>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0" w:type="auto"/>
            <w:vMerge w:val="continue"/>
            <w:tcBorders>
              <w:left w:val="nil"/>
              <w:right w:val="single" w:color="000000" w:sz="4" w:space="0"/>
            </w:tcBorders>
            <w:vAlign w:val="center"/>
          </w:tcPr>
          <w:p>
            <w:pPr>
              <w:widowControl/>
              <w:jc w:val="center"/>
              <w:textAlignment w:val="center"/>
              <w:rPr>
                <w:rFonts w:hint="eastAsia" w:ascii="宋体" w:hAnsi="宋体" w:eastAsia="宋体"/>
                <w:color w:val="000000"/>
                <w:sz w:val="18"/>
                <w:szCs w:val="18"/>
              </w:rPr>
            </w:pPr>
          </w:p>
        </w:tc>
        <w:tc>
          <w:tcPr>
            <w:tcW w:w="0" w:type="auto"/>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0" w:type="auto"/>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0" w:type="auto"/>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0" w:type="auto"/>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color w:val="000000"/>
                <w:sz w:val="18"/>
                <w:szCs w:val="18"/>
              </w:rPr>
            </w:pPr>
          </w:p>
        </w:tc>
        <w:tc>
          <w:tcPr>
            <w:tcW w:w="0" w:type="auto"/>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0" w:type="auto"/>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0" w:type="auto"/>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0" w:type="auto"/>
            <w:vMerge w:val="continue"/>
            <w:tcBorders>
              <w:left w:val="nil"/>
              <w:right w:val="single" w:color="000000" w:sz="4" w:space="0"/>
            </w:tcBorders>
            <w:vAlign w:val="center"/>
          </w:tcPr>
          <w:p>
            <w:pPr>
              <w:jc w:val="center"/>
              <w:rPr>
                <w:rFonts w:hint="eastAsia" w:ascii="宋体" w:hAnsi="宋体" w:eastAsia="宋体"/>
                <w:color w:val="000000"/>
                <w:sz w:val="18"/>
                <w:szCs w:val="18"/>
              </w:rPr>
            </w:pPr>
          </w:p>
        </w:tc>
        <w:tc>
          <w:tcPr>
            <w:tcW w:w="0" w:type="auto"/>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0" w:type="auto"/>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0" w:type="auto"/>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0" w:type="auto"/>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color w:val="000000"/>
                <w:sz w:val="18"/>
                <w:szCs w:val="18"/>
              </w:rPr>
            </w:pPr>
          </w:p>
        </w:tc>
        <w:tc>
          <w:tcPr>
            <w:tcW w:w="0" w:type="auto"/>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0" w:type="auto"/>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0" w:type="auto"/>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0" w:type="auto"/>
            <w:vMerge w:val="continue"/>
            <w:tcBorders>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0" w:type="auto"/>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0" w:type="auto"/>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0" w:type="auto"/>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9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0" w:type="auto"/>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1</w:t>
            </w:r>
          </w:p>
        </w:tc>
        <w:tc>
          <w:tcPr>
            <w:tcW w:w="0" w:type="auto"/>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2</w:t>
            </w:r>
          </w:p>
        </w:tc>
        <w:tc>
          <w:tcPr>
            <w:tcW w:w="0" w:type="auto"/>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3</w:t>
            </w:r>
          </w:p>
        </w:tc>
        <w:tc>
          <w:tcPr>
            <w:tcW w:w="0" w:type="auto"/>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4</w:t>
            </w:r>
          </w:p>
        </w:tc>
        <w:tc>
          <w:tcPr>
            <w:tcW w:w="0" w:type="auto"/>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5</w:t>
            </w:r>
          </w:p>
        </w:tc>
        <w:tc>
          <w:tcPr>
            <w:tcW w:w="0" w:type="auto"/>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6</w:t>
            </w:r>
          </w:p>
        </w:tc>
        <w:tc>
          <w:tcPr>
            <w:tcW w:w="0" w:type="auto"/>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7</w:t>
            </w:r>
          </w:p>
        </w:tc>
      </w:tr>
      <w:tr>
        <w:tblPrEx>
          <w:tblCellMar>
            <w:top w:w="0" w:type="dxa"/>
            <w:left w:w="108" w:type="dxa"/>
            <w:bottom w:w="0" w:type="dxa"/>
            <w:right w:w="108" w:type="dxa"/>
          </w:tblCellMar>
        </w:tblPrEx>
        <w:trPr>
          <w:trHeight w:val="308"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191.95</w:t>
            </w: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191.95</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w:t>
            </w:r>
          </w:p>
        </w:tc>
        <w:tc>
          <w:tcPr>
            <w:tcW w:w="0" w:type="auto"/>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一般公共服务支出</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133.95</w:t>
            </w: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133.95</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20103</w:t>
            </w:r>
          </w:p>
        </w:tc>
        <w:tc>
          <w:tcPr>
            <w:tcW w:w="0" w:type="auto"/>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政府办公厅（室）及相关机构事务</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133.95</w:t>
            </w: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133.95</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2010350</w:t>
            </w:r>
          </w:p>
        </w:tc>
        <w:tc>
          <w:tcPr>
            <w:tcW w:w="0" w:type="auto"/>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事业运行</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133.95</w:t>
            </w: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133.95</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w:t>
            </w:r>
          </w:p>
        </w:tc>
        <w:tc>
          <w:tcPr>
            <w:tcW w:w="0" w:type="auto"/>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社会保障和就业支出</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33.08</w:t>
            </w: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33.08</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w:t>
            </w:r>
          </w:p>
        </w:tc>
        <w:tc>
          <w:tcPr>
            <w:tcW w:w="0" w:type="auto"/>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行政事业单位养老支出</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33.08</w:t>
            </w: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33.08</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2080502</w:t>
            </w:r>
          </w:p>
        </w:tc>
        <w:tc>
          <w:tcPr>
            <w:tcW w:w="0" w:type="auto"/>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事业单位离退休</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18.15</w:t>
            </w: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18.15</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2080505</w:t>
            </w:r>
          </w:p>
        </w:tc>
        <w:tc>
          <w:tcPr>
            <w:tcW w:w="0" w:type="auto"/>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机关事业单位基本养老保险缴费支出</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14.93</w:t>
            </w: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14.93</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w:t>
            </w:r>
          </w:p>
        </w:tc>
        <w:tc>
          <w:tcPr>
            <w:tcW w:w="0" w:type="auto"/>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卫生健康支出</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10.91</w:t>
            </w: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10.91</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21011</w:t>
            </w:r>
          </w:p>
        </w:tc>
        <w:tc>
          <w:tcPr>
            <w:tcW w:w="0" w:type="auto"/>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行政事业单位医疗</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10.91</w:t>
            </w: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10.91</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2101102</w:t>
            </w:r>
          </w:p>
        </w:tc>
        <w:tc>
          <w:tcPr>
            <w:tcW w:w="0" w:type="auto"/>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事业单位医疗</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10.91</w:t>
            </w: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10.91</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w:t>
            </w:r>
          </w:p>
        </w:tc>
        <w:tc>
          <w:tcPr>
            <w:tcW w:w="0" w:type="auto"/>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住房保障支出</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14.01</w:t>
            </w: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14.01</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22102</w:t>
            </w:r>
          </w:p>
        </w:tc>
        <w:tc>
          <w:tcPr>
            <w:tcW w:w="0" w:type="auto"/>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住房改革支出</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14.01</w:t>
            </w: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14.01</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2210201</w:t>
            </w:r>
          </w:p>
        </w:tc>
        <w:tc>
          <w:tcPr>
            <w:tcW w:w="0" w:type="auto"/>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住房公积金</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14.01</w:t>
            </w: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14.01</w:t>
            </w: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0" w:type="auto"/>
            <w:gridSpan w:val="11"/>
            <w:tcBorders>
              <w:top w:val="nil"/>
              <w:left w:val="nil"/>
              <w:bottom w:val="nil"/>
              <w:right w:val="nil"/>
            </w:tcBorders>
            <w:noWrap/>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本年度取得的各项收入情况。</w:t>
            </w:r>
          </w:p>
        </w:tc>
      </w:tr>
    </w:tbl>
    <w:p>
      <w:pPr>
        <w:widowControl/>
        <w:jc w:val="center"/>
        <w:textAlignment w:val="bottom"/>
        <w:rPr>
          <w:rFonts w:hint="eastAsia" w:ascii="黑体" w:hAnsi="黑体" w:eastAsia="黑体"/>
          <w:bCs/>
          <w:sz w:val="32"/>
          <w:szCs w:val="32"/>
        </w:rPr>
      </w:pPr>
    </w:p>
    <w:p>
      <w:pPr>
        <w:rPr>
          <w:rFonts w:hint="eastAsia" w:ascii="黑体" w:hAnsi="黑体" w:eastAsia="黑体"/>
          <w:bCs/>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1608" w:tblpY="28"/>
        <w:tblOverlap w:val="never"/>
        <w:tblW w:w="5000" w:type="pct"/>
        <w:tblInd w:w="0" w:type="dxa"/>
        <w:tblLayout w:type="autofit"/>
        <w:tblCellMar>
          <w:top w:w="0" w:type="dxa"/>
          <w:left w:w="108" w:type="dxa"/>
          <w:bottom w:w="0" w:type="dxa"/>
          <w:right w:w="108" w:type="dxa"/>
        </w:tblCellMar>
      </w:tblPr>
      <w:tblGrid>
        <w:gridCol w:w="844"/>
        <w:gridCol w:w="3096"/>
        <w:gridCol w:w="1754"/>
        <w:gridCol w:w="453"/>
        <w:gridCol w:w="1052"/>
        <w:gridCol w:w="1755"/>
        <w:gridCol w:w="1114"/>
        <w:gridCol w:w="392"/>
        <w:gridCol w:w="1755"/>
        <w:gridCol w:w="1777"/>
      </w:tblGrid>
      <w:tr>
        <w:tblPrEx>
          <w:tblCellMar>
            <w:top w:w="0" w:type="dxa"/>
            <w:left w:w="108" w:type="dxa"/>
            <w:bottom w:w="0" w:type="dxa"/>
            <w:right w:w="108" w:type="dxa"/>
          </w:tblCellMar>
        </w:tblPrEx>
        <w:trPr>
          <w:trHeight w:val="90" w:hRule="atLeast"/>
        </w:trPr>
        <w:tc>
          <w:tcPr>
            <w:tcW w:w="5000" w:type="pct"/>
            <w:gridSpan w:val="10"/>
            <w:tcBorders>
              <w:top w:val="nil"/>
              <w:left w:val="nil"/>
              <w:bottom w:val="nil"/>
              <w:right w:val="nil"/>
            </w:tcBorders>
            <w:noWrap/>
            <w:vAlign w:val="bottom"/>
          </w:tcPr>
          <w:p>
            <w:pPr>
              <w:jc w:val="center"/>
              <w:outlineLvl w:val="1"/>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tblPrEx>
          <w:tblCellMar>
            <w:top w:w="0" w:type="dxa"/>
            <w:left w:w="108" w:type="dxa"/>
            <w:bottom w:w="0" w:type="dxa"/>
            <w:right w:w="108" w:type="dxa"/>
          </w:tblCellMar>
        </w:tblPrEx>
        <w:trPr>
          <w:trHeight w:val="300" w:hRule="atLeast"/>
        </w:trPr>
        <w:tc>
          <w:tcPr>
            <w:tcW w:w="5000" w:type="pct"/>
            <w:gridSpan w:val="10"/>
            <w:tcBorders>
              <w:top w:val="nil"/>
              <w:left w:val="nil"/>
              <w:bottom w:val="nil"/>
              <w:right w:val="nil"/>
            </w:tcBorders>
            <w:noWrap/>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宋体" w:cs="Times New Roman"/>
                <w:color w:val="000000"/>
                <w:sz w:val="18"/>
                <w:szCs w:val="18"/>
                <w:lang w:bidi="ar"/>
              </w:rPr>
              <w:t>03</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2197" w:type="pct"/>
            <w:gridSpan w:val="4"/>
            <w:tcBorders>
              <w:top w:val="nil"/>
              <w:left w:val="nil"/>
              <w:bottom w:val="single" w:color="auto" w:sz="4" w:space="0"/>
              <w:right w:val="nil"/>
            </w:tcBorders>
            <w:noWrap/>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 xml:space="preserve">编制单位：石家庄市对外交流合作中心 </w:t>
            </w:r>
            <w:r>
              <w:rPr>
                <w:rFonts w:hint="eastAsia" w:asciiTheme="minorEastAsia" w:hAnsiTheme="minorEastAsia" w:cstheme="minorEastAsia"/>
                <w:color w:val="000000"/>
                <w:sz w:val="18"/>
                <w:szCs w:val="18"/>
                <w:lang w:bidi="ar"/>
              </w:rPr>
              <w:t xml:space="preserve">                                                                                                         </w:t>
            </w:r>
          </w:p>
        </w:tc>
        <w:tc>
          <w:tcPr>
            <w:tcW w:w="1401" w:type="pct"/>
            <w:gridSpan w:val="3"/>
            <w:tcBorders>
              <w:top w:val="nil"/>
              <w:left w:val="nil"/>
              <w:bottom w:val="single" w:color="auto" w:sz="4" w:space="0"/>
              <w:right w:val="nil"/>
            </w:tcBorders>
            <w:noWrap/>
            <w:vAlign w:val="bottom"/>
          </w:tcPr>
          <w:p>
            <w:pPr>
              <w:widowControl/>
              <w:jc w:val="center"/>
              <w:textAlignment w:val="bottom"/>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1401" w:type="pct"/>
            <w:gridSpan w:val="3"/>
            <w:tcBorders>
              <w:top w:val="nil"/>
              <w:left w:val="nil"/>
              <w:bottom w:val="single" w:color="auto" w:sz="4" w:space="0"/>
              <w:right w:val="nil"/>
            </w:tcBorders>
            <w:noWrap/>
            <w:vAlign w:val="bottom"/>
          </w:tcPr>
          <w:p>
            <w:pPr>
              <w:widowControl/>
              <w:jc w:val="right"/>
              <w:textAlignment w:val="bottom"/>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 xml:space="preserve"> 金额单位：万元</w:t>
            </w:r>
          </w:p>
        </w:tc>
      </w:tr>
      <w:tr>
        <w:tblPrEx>
          <w:tblCellMar>
            <w:top w:w="0" w:type="dxa"/>
            <w:left w:w="108" w:type="dxa"/>
            <w:bottom w:w="0" w:type="dxa"/>
            <w:right w:w="108" w:type="dxa"/>
          </w:tblCellMar>
        </w:tblPrEx>
        <w:trPr>
          <w:trHeight w:val="308" w:hRule="atLeast"/>
        </w:trPr>
        <w:tc>
          <w:tcPr>
            <w:tcW w:w="1408" w:type="pct"/>
            <w:gridSpan w:val="2"/>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627"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本年支出合计</w:t>
            </w:r>
          </w:p>
        </w:tc>
        <w:tc>
          <w:tcPr>
            <w:tcW w:w="538" w:type="pct"/>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627"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c>
          <w:tcPr>
            <w:tcW w:w="538" w:type="pct"/>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上缴上级支出</w:t>
            </w:r>
          </w:p>
        </w:tc>
        <w:tc>
          <w:tcPr>
            <w:tcW w:w="627"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经营支出</w:t>
            </w:r>
          </w:p>
        </w:tc>
        <w:tc>
          <w:tcPr>
            <w:tcW w:w="632"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对附属单位补助支出</w:t>
            </w:r>
          </w:p>
        </w:tc>
      </w:tr>
      <w:tr>
        <w:tblPrEx>
          <w:tblCellMar>
            <w:top w:w="0" w:type="dxa"/>
            <w:left w:w="108" w:type="dxa"/>
            <w:bottom w:w="0" w:type="dxa"/>
            <w:right w:w="108" w:type="dxa"/>
          </w:tblCellMar>
        </w:tblPrEx>
        <w:trPr>
          <w:trHeight w:val="312" w:hRule="atLeast"/>
        </w:trPr>
        <w:tc>
          <w:tcPr>
            <w:tcW w:w="302" w:type="pct"/>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106" w:type="pct"/>
            <w:vMerge w:val="restart"/>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627"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538" w:type="pct"/>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627"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538" w:type="pct"/>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627"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632"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12" w:hRule="atLeast"/>
        </w:trPr>
        <w:tc>
          <w:tcPr>
            <w:tcW w:w="302" w:type="pct"/>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106"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olor w:val="000000"/>
                <w:sz w:val="18"/>
                <w:szCs w:val="18"/>
              </w:rPr>
            </w:pPr>
          </w:p>
        </w:tc>
        <w:tc>
          <w:tcPr>
            <w:tcW w:w="627"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538" w:type="pct"/>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627"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538" w:type="pct"/>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627"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632"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12" w:hRule="atLeast"/>
        </w:trPr>
        <w:tc>
          <w:tcPr>
            <w:tcW w:w="302" w:type="pct"/>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106"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olor w:val="000000"/>
                <w:sz w:val="18"/>
                <w:szCs w:val="18"/>
              </w:rPr>
            </w:pPr>
          </w:p>
        </w:tc>
        <w:tc>
          <w:tcPr>
            <w:tcW w:w="627"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538" w:type="pct"/>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627"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538" w:type="pct"/>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627"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632"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08" w:hRule="atLeast"/>
        </w:trPr>
        <w:tc>
          <w:tcPr>
            <w:tcW w:w="1408" w:type="pct"/>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627"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538" w:type="pct"/>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627"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538" w:type="pct"/>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627"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632"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r>
      <w:tr>
        <w:tblPrEx>
          <w:tblCellMar>
            <w:top w:w="0" w:type="dxa"/>
            <w:left w:w="108" w:type="dxa"/>
            <w:bottom w:w="0" w:type="dxa"/>
            <w:right w:w="108" w:type="dxa"/>
          </w:tblCellMar>
        </w:tblPrEx>
        <w:trPr>
          <w:trHeight w:val="308" w:hRule="atLeast"/>
        </w:trPr>
        <w:tc>
          <w:tcPr>
            <w:tcW w:w="1408" w:type="pct"/>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191.95</w:t>
            </w: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191.95</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3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02"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w:t>
            </w:r>
          </w:p>
        </w:tc>
        <w:tc>
          <w:tcPr>
            <w:tcW w:w="1106"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一般公共服务支出</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133.95</w:t>
            </w: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133.95</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3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02"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w:t>
            </w:r>
          </w:p>
        </w:tc>
        <w:tc>
          <w:tcPr>
            <w:tcW w:w="1106"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政府办公厅（室）及相关机构事务</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133.95</w:t>
            </w: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133.95</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3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02"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2010350</w:t>
            </w:r>
          </w:p>
        </w:tc>
        <w:tc>
          <w:tcPr>
            <w:tcW w:w="1106"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事业运行</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133.95</w:t>
            </w: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133.95</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3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02"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w:t>
            </w:r>
          </w:p>
        </w:tc>
        <w:tc>
          <w:tcPr>
            <w:tcW w:w="1106"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社会保障和就业支出</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33.08</w:t>
            </w: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33.08</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3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02"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w:t>
            </w:r>
          </w:p>
        </w:tc>
        <w:tc>
          <w:tcPr>
            <w:tcW w:w="1106"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行政事业单位养老支出</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33.08</w:t>
            </w: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33.08</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3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02"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2080502</w:t>
            </w:r>
          </w:p>
        </w:tc>
        <w:tc>
          <w:tcPr>
            <w:tcW w:w="1106"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事业单位离退休</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18.15</w:t>
            </w: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18.15</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3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02"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2080505</w:t>
            </w:r>
          </w:p>
        </w:tc>
        <w:tc>
          <w:tcPr>
            <w:tcW w:w="1106"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机关事业单位基本养老保险缴费支出</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14.93</w:t>
            </w: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14.93</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3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02"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w:t>
            </w:r>
          </w:p>
        </w:tc>
        <w:tc>
          <w:tcPr>
            <w:tcW w:w="1106"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卫生健康支出</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10.91</w:t>
            </w: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10.91</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3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02"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w:t>
            </w:r>
          </w:p>
        </w:tc>
        <w:tc>
          <w:tcPr>
            <w:tcW w:w="1106"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行政事业单位医疗</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10.91</w:t>
            </w: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10.91</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3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02"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2101102</w:t>
            </w:r>
          </w:p>
        </w:tc>
        <w:tc>
          <w:tcPr>
            <w:tcW w:w="1106"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事业单位医疗</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10.91</w:t>
            </w: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10.91</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3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02"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w:t>
            </w:r>
          </w:p>
        </w:tc>
        <w:tc>
          <w:tcPr>
            <w:tcW w:w="1106"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住房保障支出</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14.01</w:t>
            </w: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14.01</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3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02"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w:t>
            </w:r>
          </w:p>
        </w:tc>
        <w:tc>
          <w:tcPr>
            <w:tcW w:w="1106"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住房改革支出</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14.01</w:t>
            </w: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14.01</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3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02"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2210201</w:t>
            </w:r>
          </w:p>
        </w:tc>
        <w:tc>
          <w:tcPr>
            <w:tcW w:w="1106"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14.01</w:t>
            </w: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14.01</w:t>
            </w: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3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2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63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5000" w:type="pct"/>
            <w:gridSpan w:val="10"/>
            <w:tcBorders>
              <w:top w:val="nil"/>
              <w:left w:val="nil"/>
              <w:bottom w:val="nil"/>
              <w:right w:val="nil"/>
            </w:tcBorders>
            <w:noWrap/>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本年度各项支出情况。</w:t>
            </w:r>
          </w:p>
        </w:tc>
      </w:tr>
    </w:tbl>
    <w:p>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1"/>
        <w:tblW w:w="5107" w:type="pct"/>
        <w:tblInd w:w="-305" w:type="dxa"/>
        <w:tblLayout w:type="fixed"/>
        <w:tblCellMar>
          <w:top w:w="0" w:type="dxa"/>
          <w:left w:w="108" w:type="dxa"/>
          <w:bottom w:w="0" w:type="dxa"/>
          <w:right w:w="108" w:type="dxa"/>
        </w:tblCellMar>
      </w:tblPr>
      <w:tblGrid>
        <w:gridCol w:w="2770"/>
        <w:gridCol w:w="464"/>
        <w:gridCol w:w="1361"/>
        <w:gridCol w:w="2384"/>
        <w:gridCol w:w="425"/>
        <w:gridCol w:w="464"/>
        <w:gridCol w:w="1542"/>
        <w:gridCol w:w="215"/>
        <w:gridCol w:w="1407"/>
        <w:gridCol w:w="1623"/>
        <w:gridCol w:w="1637"/>
      </w:tblGrid>
      <w:tr>
        <w:tblPrEx>
          <w:tblCellMar>
            <w:top w:w="0" w:type="dxa"/>
            <w:left w:w="108" w:type="dxa"/>
            <w:bottom w:w="0" w:type="dxa"/>
            <w:right w:w="108" w:type="dxa"/>
          </w:tblCellMar>
        </w:tblPrEx>
        <w:trPr>
          <w:trHeight w:val="453" w:hRule="atLeast"/>
        </w:trPr>
        <w:tc>
          <w:tcPr>
            <w:tcW w:w="5000" w:type="pct"/>
            <w:gridSpan w:val="11"/>
            <w:tcBorders>
              <w:top w:val="nil"/>
              <w:left w:val="nil"/>
              <w:bottom w:val="nil"/>
              <w:right w:val="nil"/>
            </w:tcBorders>
            <w:noWrap/>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财政拨款收入支出决算总表</w:t>
            </w:r>
          </w:p>
        </w:tc>
      </w:tr>
      <w:tr>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公开04表</w:t>
            </w:r>
          </w:p>
        </w:tc>
      </w:tr>
      <w:tr>
        <w:tblPrEx>
          <w:tblCellMar>
            <w:top w:w="0" w:type="dxa"/>
            <w:left w:w="108" w:type="dxa"/>
            <w:bottom w:w="0" w:type="dxa"/>
            <w:right w:w="108" w:type="dxa"/>
          </w:tblCellMar>
        </w:tblPrEx>
        <w:trPr>
          <w:trHeight w:val="300" w:hRule="atLeast"/>
        </w:trPr>
        <w:tc>
          <w:tcPr>
            <w:tcW w:w="2441" w:type="pct"/>
            <w:gridSpan w:val="4"/>
            <w:tcBorders>
              <w:top w:val="nil"/>
              <w:left w:val="nil"/>
              <w:bottom w:val="single" w:color="auto" w:sz="4" w:space="0"/>
              <w:right w:val="nil"/>
            </w:tcBorders>
            <w:noWrap/>
            <w:vAlign w:val="bottom"/>
          </w:tcPr>
          <w:p>
            <w:pPr>
              <w:rPr>
                <w:rFonts w:hint="eastAsia" w:ascii="仿宋" w:hAnsi="仿宋" w:eastAsia="仿宋" w:cs="仿宋"/>
                <w:color w:val="000000"/>
                <w:sz w:val="18"/>
                <w:szCs w:val="18"/>
              </w:rPr>
            </w:pPr>
            <w:r>
              <w:rPr>
                <w:rFonts w:hint="eastAsia" w:ascii="方正仿宋_GB2312" w:hAnsi="方正仿宋_GB2312" w:eastAsia="方正仿宋_GB2312" w:cs="方正仿宋_GB2312"/>
                <w:color w:val="000000"/>
                <w:sz w:val="18"/>
                <w:szCs w:val="18"/>
                <w:lang w:bidi="ar"/>
              </w:rPr>
              <w:t xml:space="preserve">编制单位：石家庄市对外交流合作中心 </w:t>
            </w:r>
            <w:r>
              <w:rPr>
                <w:rFonts w:hint="eastAsia" w:asciiTheme="minorEastAsia" w:hAnsiTheme="minorEastAsia" w:cstheme="minorEastAsia"/>
                <w:color w:val="000000"/>
                <w:sz w:val="18"/>
                <w:szCs w:val="18"/>
                <w:lang w:bidi="ar"/>
              </w:rPr>
              <w:t xml:space="preserve">                                                                                                   </w:t>
            </w:r>
          </w:p>
        </w:tc>
        <w:tc>
          <w:tcPr>
            <w:tcW w:w="925" w:type="pct"/>
            <w:gridSpan w:val="4"/>
            <w:tcBorders>
              <w:top w:val="nil"/>
              <w:left w:val="nil"/>
              <w:bottom w:val="single" w:color="auto" w:sz="4" w:space="0"/>
              <w:right w:val="nil"/>
            </w:tcBorders>
            <w:noWrap/>
            <w:vAlign w:val="bottom"/>
          </w:tcPr>
          <w:p>
            <w:pPr>
              <w:jc w:val="center"/>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1632" w:type="pct"/>
            <w:gridSpan w:val="3"/>
            <w:tcBorders>
              <w:top w:val="nil"/>
              <w:left w:val="nil"/>
              <w:bottom w:val="single" w:color="auto" w:sz="4" w:space="0"/>
              <w:right w:val="nil"/>
            </w:tcBorders>
            <w:noWrap/>
            <w:vAlign w:val="bottom"/>
          </w:tcPr>
          <w:p>
            <w:pPr>
              <w:jc w:val="right"/>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308" w:hRule="atLeast"/>
        </w:trPr>
        <w:tc>
          <w:tcPr>
            <w:tcW w:w="1607" w:type="pct"/>
            <w:gridSpan w:val="3"/>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收     入</w:t>
            </w:r>
          </w:p>
        </w:tc>
        <w:tc>
          <w:tcPr>
            <w:tcW w:w="3392" w:type="pct"/>
            <w:gridSpan w:val="8"/>
            <w:tcBorders>
              <w:top w:val="single" w:color="auto" w:sz="4" w:space="0"/>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支     出</w:t>
            </w:r>
          </w:p>
        </w:tc>
      </w:tr>
      <w:tr>
        <w:tblPrEx>
          <w:tblCellMar>
            <w:top w:w="0" w:type="dxa"/>
            <w:left w:w="108" w:type="dxa"/>
            <w:bottom w:w="0" w:type="dxa"/>
            <w:right w:w="108" w:type="dxa"/>
          </w:tblCellMar>
        </w:tblPrEx>
        <w:trPr>
          <w:trHeight w:val="312" w:hRule="atLeast"/>
        </w:trPr>
        <w:tc>
          <w:tcPr>
            <w:tcW w:w="969" w:type="pct"/>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    目</w:t>
            </w:r>
          </w:p>
        </w:tc>
        <w:tc>
          <w:tcPr>
            <w:tcW w:w="162" w:type="pct"/>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476" w:type="pct"/>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982" w:type="pct"/>
            <w:gridSpan w:val="2"/>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62" w:type="pct"/>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539" w:type="pct"/>
            <w:vMerge w:val="restart"/>
            <w:tcBorders>
              <w:top w:val="nil"/>
              <w:left w:val="nil"/>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567" w:type="pct"/>
            <w:gridSpan w:val="2"/>
            <w:vMerge w:val="restart"/>
            <w:tcBorders>
              <w:top w:val="nil"/>
              <w:left w:val="nil"/>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一般公共预算财政拨款</w:t>
            </w:r>
          </w:p>
        </w:tc>
        <w:tc>
          <w:tcPr>
            <w:tcW w:w="567" w:type="pct"/>
            <w:vMerge w:val="restart"/>
            <w:tcBorders>
              <w:top w:val="nil"/>
              <w:left w:val="nil"/>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政府性基金预算财政拨款</w:t>
            </w:r>
          </w:p>
        </w:tc>
        <w:tc>
          <w:tcPr>
            <w:tcW w:w="572" w:type="pct"/>
            <w:vMerge w:val="restart"/>
            <w:tcBorders>
              <w:top w:val="nil"/>
              <w:left w:val="nil"/>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国有资本经营预算财政拨款</w:t>
            </w:r>
          </w:p>
        </w:tc>
      </w:tr>
      <w:tr>
        <w:tblPrEx>
          <w:tblCellMar>
            <w:top w:w="0" w:type="dxa"/>
            <w:left w:w="108" w:type="dxa"/>
            <w:bottom w:w="0" w:type="dxa"/>
            <w:right w:w="108" w:type="dxa"/>
          </w:tblCellMar>
        </w:tblPrEx>
        <w:trPr>
          <w:trHeight w:val="312" w:hRule="atLeast"/>
        </w:trPr>
        <w:tc>
          <w:tcPr>
            <w:tcW w:w="969" w:type="pct"/>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62" w:type="pct"/>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476" w:type="pct"/>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982" w:type="pct"/>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62" w:type="pct"/>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539" w:type="pct"/>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567" w:type="pct"/>
            <w:gridSpan w:val="2"/>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567" w:type="pct"/>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572" w:type="pct"/>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    次</w:t>
            </w:r>
          </w:p>
        </w:tc>
        <w:tc>
          <w:tcPr>
            <w:tcW w:w="162" w:type="pct"/>
            <w:tcBorders>
              <w:top w:val="nil"/>
              <w:left w:val="nil"/>
              <w:bottom w:val="single" w:color="000000" w:sz="4" w:space="0"/>
              <w:right w:val="single" w:color="000000" w:sz="4" w:space="0"/>
            </w:tcBorders>
            <w:noWrap/>
            <w:vAlign w:val="center"/>
          </w:tcPr>
          <w:p>
            <w:pPr>
              <w:jc w:val="center"/>
              <w:rPr>
                <w:rFonts w:hint="eastAsia" w:ascii="宋体" w:hAnsi="宋体" w:eastAsia="宋体"/>
                <w:color w:val="000000"/>
                <w:sz w:val="18"/>
                <w:szCs w:val="18"/>
              </w:rPr>
            </w:pPr>
          </w:p>
        </w:tc>
        <w:tc>
          <w:tcPr>
            <w:tcW w:w="476" w:type="pct"/>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1</w:t>
            </w:r>
          </w:p>
        </w:tc>
        <w:tc>
          <w:tcPr>
            <w:tcW w:w="982" w:type="pct"/>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    次</w:t>
            </w:r>
          </w:p>
        </w:tc>
        <w:tc>
          <w:tcPr>
            <w:tcW w:w="162" w:type="pct"/>
            <w:tcBorders>
              <w:top w:val="nil"/>
              <w:left w:val="nil"/>
              <w:bottom w:val="single" w:color="000000" w:sz="4" w:space="0"/>
              <w:right w:val="single" w:color="000000" w:sz="4" w:space="0"/>
            </w:tcBorders>
            <w:noWrap/>
            <w:vAlign w:val="center"/>
          </w:tcPr>
          <w:p>
            <w:pPr>
              <w:jc w:val="center"/>
              <w:rPr>
                <w:rFonts w:hint="eastAsia" w:ascii="宋体" w:hAnsi="宋体" w:eastAsia="宋体"/>
                <w:color w:val="000000"/>
                <w:sz w:val="18"/>
                <w:szCs w:val="18"/>
              </w:rPr>
            </w:pPr>
          </w:p>
        </w:tc>
        <w:tc>
          <w:tcPr>
            <w:tcW w:w="539" w:type="pct"/>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2</w:t>
            </w:r>
          </w:p>
        </w:tc>
        <w:tc>
          <w:tcPr>
            <w:tcW w:w="567" w:type="pct"/>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3</w:t>
            </w:r>
          </w:p>
        </w:tc>
        <w:tc>
          <w:tcPr>
            <w:tcW w:w="567" w:type="pct"/>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4</w:t>
            </w:r>
          </w:p>
        </w:tc>
        <w:tc>
          <w:tcPr>
            <w:tcW w:w="572" w:type="pct"/>
            <w:tcBorders>
              <w:top w:val="nil"/>
              <w:left w:val="nil"/>
              <w:bottom w:val="single" w:color="000000" w:sz="4" w:space="0"/>
              <w:right w:val="single" w:color="000000" w:sz="8" w:space="0"/>
            </w:tcBorders>
            <w:noWrap/>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5</w:t>
            </w:r>
          </w:p>
        </w:tc>
      </w:tr>
      <w:tr>
        <w:tblPrEx>
          <w:tblCellMar>
            <w:top w:w="0" w:type="dxa"/>
            <w:left w:w="108" w:type="dxa"/>
            <w:bottom w:w="0" w:type="dxa"/>
            <w:right w:w="108" w:type="dxa"/>
          </w:tblCellMar>
        </w:tblPrEx>
        <w:trPr>
          <w:trHeight w:val="308" w:hRule="atLeast"/>
        </w:trPr>
        <w:tc>
          <w:tcPr>
            <w:tcW w:w="969"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47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191.95</w:t>
            </w:r>
          </w:p>
        </w:tc>
        <w:tc>
          <w:tcPr>
            <w:tcW w:w="982"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一、一般公共服务支出</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33</w:t>
            </w:r>
          </w:p>
        </w:tc>
        <w:tc>
          <w:tcPr>
            <w:tcW w:w="53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133.95</w:t>
            </w:r>
          </w:p>
        </w:tc>
        <w:tc>
          <w:tcPr>
            <w:tcW w:w="567"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133.95</w:t>
            </w:r>
          </w:p>
        </w:tc>
        <w:tc>
          <w:tcPr>
            <w:tcW w:w="56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47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二、外交支出</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34</w:t>
            </w:r>
          </w:p>
        </w:tc>
        <w:tc>
          <w:tcPr>
            <w:tcW w:w="53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47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三、国防支出</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35</w:t>
            </w:r>
          </w:p>
        </w:tc>
        <w:tc>
          <w:tcPr>
            <w:tcW w:w="53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47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四、公共安全支出</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36</w:t>
            </w:r>
          </w:p>
        </w:tc>
        <w:tc>
          <w:tcPr>
            <w:tcW w:w="53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47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五、教育支出</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37</w:t>
            </w:r>
          </w:p>
        </w:tc>
        <w:tc>
          <w:tcPr>
            <w:tcW w:w="53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c>
          <w:tcPr>
            <w:tcW w:w="47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六、科学技术支出</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38</w:t>
            </w:r>
          </w:p>
        </w:tc>
        <w:tc>
          <w:tcPr>
            <w:tcW w:w="53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7</w:t>
            </w:r>
          </w:p>
        </w:tc>
        <w:tc>
          <w:tcPr>
            <w:tcW w:w="47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七、文化旅游体育与传媒支出</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39</w:t>
            </w:r>
          </w:p>
        </w:tc>
        <w:tc>
          <w:tcPr>
            <w:tcW w:w="53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8</w:t>
            </w:r>
          </w:p>
        </w:tc>
        <w:tc>
          <w:tcPr>
            <w:tcW w:w="47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八、社会保障和就业支出</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40</w:t>
            </w:r>
          </w:p>
        </w:tc>
        <w:tc>
          <w:tcPr>
            <w:tcW w:w="53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33.08</w:t>
            </w:r>
          </w:p>
        </w:tc>
        <w:tc>
          <w:tcPr>
            <w:tcW w:w="567"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33.08</w:t>
            </w:r>
          </w:p>
        </w:tc>
        <w:tc>
          <w:tcPr>
            <w:tcW w:w="56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9</w:t>
            </w:r>
          </w:p>
        </w:tc>
        <w:tc>
          <w:tcPr>
            <w:tcW w:w="47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九、卫生健康支出</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41</w:t>
            </w:r>
          </w:p>
        </w:tc>
        <w:tc>
          <w:tcPr>
            <w:tcW w:w="53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10.91</w:t>
            </w:r>
          </w:p>
        </w:tc>
        <w:tc>
          <w:tcPr>
            <w:tcW w:w="567"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10.91</w:t>
            </w:r>
          </w:p>
        </w:tc>
        <w:tc>
          <w:tcPr>
            <w:tcW w:w="56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10</w:t>
            </w:r>
          </w:p>
        </w:tc>
        <w:tc>
          <w:tcPr>
            <w:tcW w:w="47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十、节能环保支出</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42</w:t>
            </w:r>
          </w:p>
        </w:tc>
        <w:tc>
          <w:tcPr>
            <w:tcW w:w="53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11</w:t>
            </w:r>
          </w:p>
        </w:tc>
        <w:tc>
          <w:tcPr>
            <w:tcW w:w="47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十一、城乡社区支出</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43</w:t>
            </w:r>
          </w:p>
        </w:tc>
        <w:tc>
          <w:tcPr>
            <w:tcW w:w="53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olor w:val="000000"/>
                <w:sz w:val="18"/>
                <w:szCs w:val="18"/>
              </w:rPr>
            </w:pPr>
          </w:p>
        </w:tc>
        <w:tc>
          <w:tcPr>
            <w:tcW w:w="162"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12</w:t>
            </w:r>
          </w:p>
        </w:tc>
        <w:tc>
          <w:tcPr>
            <w:tcW w:w="476"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nil"/>
              <w:left w:val="nil"/>
              <w:bottom w:val="single" w:color="auto"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十二、农林水支出</w:t>
            </w:r>
          </w:p>
        </w:tc>
        <w:tc>
          <w:tcPr>
            <w:tcW w:w="162"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44</w:t>
            </w:r>
          </w:p>
        </w:tc>
        <w:tc>
          <w:tcPr>
            <w:tcW w:w="539"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nil"/>
              <w:left w:val="nil"/>
              <w:bottom w:val="single" w:color="auto"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16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13</w:t>
            </w:r>
          </w:p>
        </w:tc>
        <w:tc>
          <w:tcPr>
            <w:tcW w:w="47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十三、交通运输支出</w:t>
            </w:r>
          </w:p>
        </w:tc>
        <w:tc>
          <w:tcPr>
            <w:tcW w:w="16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45</w:t>
            </w:r>
          </w:p>
        </w:tc>
        <w:tc>
          <w:tcPr>
            <w:tcW w:w="53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494" w:hRule="atLeast"/>
        </w:trPr>
        <w:tc>
          <w:tcPr>
            <w:tcW w:w="96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16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14</w:t>
            </w:r>
          </w:p>
        </w:tc>
        <w:tc>
          <w:tcPr>
            <w:tcW w:w="47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十四、资源勘探工业信息等支出</w:t>
            </w:r>
          </w:p>
        </w:tc>
        <w:tc>
          <w:tcPr>
            <w:tcW w:w="16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46</w:t>
            </w:r>
          </w:p>
        </w:tc>
        <w:tc>
          <w:tcPr>
            <w:tcW w:w="53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16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15</w:t>
            </w:r>
          </w:p>
        </w:tc>
        <w:tc>
          <w:tcPr>
            <w:tcW w:w="47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十五、商业服务业等支出</w:t>
            </w:r>
          </w:p>
        </w:tc>
        <w:tc>
          <w:tcPr>
            <w:tcW w:w="16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47</w:t>
            </w:r>
          </w:p>
        </w:tc>
        <w:tc>
          <w:tcPr>
            <w:tcW w:w="53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16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16</w:t>
            </w:r>
          </w:p>
        </w:tc>
        <w:tc>
          <w:tcPr>
            <w:tcW w:w="47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十六、金融支出</w:t>
            </w:r>
          </w:p>
        </w:tc>
        <w:tc>
          <w:tcPr>
            <w:tcW w:w="16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48</w:t>
            </w:r>
          </w:p>
        </w:tc>
        <w:tc>
          <w:tcPr>
            <w:tcW w:w="53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16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17</w:t>
            </w:r>
          </w:p>
        </w:tc>
        <w:tc>
          <w:tcPr>
            <w:tcW w:w="47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十七、援助其他地区支出</w:t>
            </w:r>
          </w:p>
        </w:tc>
        <w:tc>
          <w:tcPr>
            <w:tcW w:w="16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49</w:t>
            </w:r>
          </w:p>
        </w:tc>
        <w:tc>
          <w:tcPr>
            <w:tcW w:w="53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16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18</w:t>
            </w:r>
          </w:p>
        </w:tc>
        <w:tc>
          <w:tcPr>
            <w:tcW w:w="47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十八、自然资源海洋气象等支出</w:t>
            </w:r>
          </w:p>
        </w:tc>
        <w:tc>
          <w:tcPr>
            <w:tcW w:w="16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50</w:t>
            </w:r>
          </w:p>
        </w:tc>
        <w:tc>
          <w:tcPr>
            <w:tcW w:w="53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16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19</w:t>
            </w:r>
          </w:p>
        </w:tc>
        <w:tc>
          <w:tcPr>
            <w:tcW w:w="47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十九、住房保障支出</w:t>
            </w:r>
          </w:p>
        </w:tc>
        <w:tc>
          <w:tcPr>
            <w:tcW w:w="16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51</w:t>
            </w:r>
          </w:p>
        </w:tc>
        <w:tc>
          <w:tcPr>
            <w:tcW w:w="53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14.01</w:t>
            </w:r>
          </w:p>
        </w:tc>
        <w:tc>
          <w:tcPr>
            <w:tcW w:w="567"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14.01</w:t>
            </w:r>
          </w:p>
        </w:tc>
        <w:tc>
          <w:tcPr>
            <w:tcW w:w="56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16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20</w:t>
            </w:r>
          </w:p>
        </w:tc>
        <w:tc>
          <w:tcPr>
            <w:tcW w:w="47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二十、粮油物资储备支出</w:t>
            </w:r>
          </w:p>
        </w:tc>
        <w:tc>
          <w:tcPr>
            <w:tcW w:w="16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52</w:t>
            </w:r>
          </w:p>
        </w:tc>
        <w:tc>
          <w:tcPr>
            <w:tcW w:w="53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16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21</w:t>
            </w:r>
          </w:p>
        </w:tc>
        <w:tc>
          <w:tcPr>
            <w:tcW w:w="47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二十一、国有资本经营预算支出</w:t>
            </w:r>
          </w:p>
        </w:tc>
        <w:tc>
          <w:tcPr>
            <w:tcW w:w="16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53</w:t>
            </w:r>
          </w:p>
        </w:tc>
        <w:tc>
          <w:tcPr>
            <w:tcW w:w="53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16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22</w:t>
            </w:r>
          </w:p>
        </w:tc>
        <w:tc>
          <w:tcPr>
            <w:tcW w:w="47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二十二、灾害防治及应急管理支出</w:t>
            </w:r>
          </w:p>
        </w:tc>
        <w:tc>
          <w:tcPr>
            <w:tcW w:w="16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54</w:t>
            </w:r>
          </w:p>
        </w:tc>
        <w:tc>
          <w:tcPr>
            <w:tcW w:w="53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16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23</w:t>
            </w:r>
          </w:p>
        </w:tc>
        <w:tc>
          <w:tcPr>
            <w:tcW w:w="47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二十三、其他支出</w:t>
            </w:r>
          </w:p>
        </w:tc>
        <w:tc>
          <w:tcPr>
            <w:tcW w:w="16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55</w:t>
            </w:r>
          </w:p>
        </w:tc>
        <w:tc>
          <w:tcPr>
            <w:tcW w:w="53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162"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24</w:t>
            </w:r>
          </w:p>
        </w:tc>
        <w:tc>
          <w:tcPr>
            <w:tcW w:w="476"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single" w:color="auto" w:sz="4" w:space="0"/>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二十四、债务还本支出</w:t>
            </w:r>
          </w:p>
        </w:tc>
        <w:tc>
          <w:tcPr>
            <w:tcW w:w="162"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56</w:t>
            </w:r>
          </w:p>
        </w:tc>
        <w:tc>
          <w:tcPr>
            <w:tcW w:w="539"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single" w:color="auto" w:sz="4" w:space="0"/>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b/>
                <w:bCs/>
                <w:color w:val="000000"/>
                <w:sz w:val="18"/>
                <w:szCs w:val="18"/>
              </w:rPr>
            </w:pP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25</w:t>
            </w:r>
          </w:p>
        </w:tc>
        <w:tc>
          <w:tcPr>
            <w:tcW w:w="47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二十五、债务付息支出</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57</w:t>
            </w:r>
          </w:p>
        </w:tc>
        <w:tc>
          <w:tcPr>
            <w:tcW w:w="53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olor w:val="000000"/>
                <w:sz w:val="18"/>
                <w:szCs w:val="18"/>
              </w:rPr>
            </w:pP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26</w:t>
            </w:r>
          </w:p>
        </w:tc>
        <w:tc>
          <w:tcPr>
            <w:tcW w:w="47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二十六、抗疫特别国债安排的支出</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58</w:t>
            </w:r>
          </w:p>
        </w:tc>
        <w:tc>
          <w:tcPr>
            <w:tcW w:w="53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本年收入合计</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27</w:t>
            </w:r>
          </w:p>
        </w:tc>
        <w:tc>
          <w:tcPr>
            <w:tcW w:w="47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191.95</w:t>
            </w:r>
          </w:p>
        </w:tc>
        <w:tc>
          <w:tcPr>
            <w:tcW w:w="982" w:type="pct"/>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本年支出合计</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59</w:t>
            </w:r>
          </w:p>
        </w:tc>
        <w:tc>
          <w:tcPr>
            <w:tcW w:w="53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191.95</w:t>
            </w:r>
          </w:p>
        </w:tc>
        <w:tc>
          <w:tcPr>
            <w:tcW w:w="567"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191.95</w:t>
            </w:r>
          </w:p>
        </w:tc>
        <w:tc>
          <w:tcPr>
            <w:tcW w:w="56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年初财政拨款结转和结余</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28</w:t>
            </w:r>
          </w:p>
        </w:tc>
        <w:tc>
          <w:tcPr>
            <w:tcW w:w="47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年末财政拨款结转和结余</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60</w:t>
            </w:r>
          </w:p>
        </w:tc>
        <w:tc>
          <w:tcPr>
            <w:tcW w:w="53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29</w:t>
            </w:r>
          </w:p>
        </w:tc>
        <w:tc>
          <w:tcPr>
            <w:tcW w:w="47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61</w:t>
            </w:r>
          </w:p>
        </w:tc>
        <w:tc>
          <w:tcPr>
            <w:tcW w:w="53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30</w:t>
            </w:r>
          </w:p>
        </w:tc>
        <w:tc>
          <w:tcPr>
            <w:tcW w:w="47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62</w:t>
            </w:r>
          </w:p>
        </w:tc>
        <w:tc>
          <w:tcPr>
            <w:tcW w:w="53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969"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w:t>
            </w: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31</w:t>
            </w:r>
          </w:p>
        </w:tc>
        <w:tc>
          <w:tcPr>
            <w:tcW w:w="47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982"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p>
        </w:tc>
        <w:tc>
          <w:tcPr>
            <w:tcW w:w="16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63</w:t>
            </w:r>
          </w:p>
        </w:tc>
        <w:tc>
          <w:tcPr>
            <w:tcW w:w="53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67"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90" w:hRule="atLeast"/>
        </w:trPr>
        <w:tc>
          <w:tcPr>
            <w:tcW w:w="969" w:type="pct"/>
            <w:tcBorders>
              <w:top w:val="nil"/>
              <w:left w:val="single" w:color="000000" w:sz="4" w:space="0"/>
              <w:bottom w:val="single" w:color="000000" w:sz="8"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162" w:type="pct"/>
            <w:tcBorders>
              <w:top w:val="nil"/>
              <w:left w:val="nil"/>
              <w:bottom w:val="single" w:color="000000" w:sz="8"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32</w:t>
            </w:r>
          </w:p>
        </w:tc>
        <w:tc>
          <w:tcPr>
            <w:tcW w:w="476" w:type="pct"/>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191.95</w:t>
            </w:r>
          </w:p>
        </w:tc>
        <w:tc>
          <w:tcPr>
            <w:tcW w:w="982" w:type="pct"/>
            <w:gridSpan w:val="2"/>
            <w:tcBorders>
              <w:top w:val="nil"/>
              <w:left w:val="nil"/>
              <w:bottom w:val="single" w:color="000000" w:sz="8"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162" w:type="pct"/>
            <w:tcBorders>
              <w:top w:val="nil"/>
              <w:left w:val="nil"/>
              <w:bottom w:val="single" w:color="000000" w:sz="8"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64</w:t>
            </w:r>
          </w:p>
        </w:tc>
        <w:tc>
          <w:tcPr>
            <w:tcW w:w="539" w:type="pct"/>
            <w:tcBorders>
              <w:top w:val="nil"/>
              <w:left w:val="nil"/>
              <w:bottom w:val="single" w:color="000000" w:sz="8" w:space="0"/>
              <w:right w:val="single" w:color="000000" w:sz="4" w:space="0"/>
            </w:tcBorders>
            <w:noWrap/>
            <w:vAlign w:val="center"/>
          </w:tcPr>
          <w:p>
            <w:pPr>
              <w:jc w:val="center"/>
              <w:rPr>
                <w:rFonts w:ascii="Times New Roman" w:hAnsi="Times New Roman" w:eastAsia="宋体" w:cs="Times New Roman"/>
                <w:color w:val="000000"/>
                <w:sz w:val="18"/>
                <w:szCs w:val="18"/>
              </w:rPr>
            </w:pPr>
            <w:r>
              <w:rPr>
                <w:rFonts w:ascii="Times New Roman" w:hAnsi="Times New Roman" w:cs="Times New Roman"/>
                <w:sz w:val="18"/>
                <w:szCs w:val="18"/>
              </w:rPr>
              <w:t>191.95</w:t>
            </w:r>
          </w:p>
        </w:tc>
        <w:tc>
          <w:tcPr>
            <w:tcW w:w="567" w:type="pct"/>
            <w:gridSpan w:val="2"/>
            <w:tcBorders>
              <w:top w:val="nil"/>
              <w:left w:val="nil"/>
              <w:bottom w:val="single" w:color="000000" w:sz="8" w:space="0"/>
              <w:right w:val="single" w:color="000000" w:sz="4" w:space="0"/>
            </w:tcBorders>
            <w:noWrap/>
            <w:vAlign w:val="center"/>
          </w:tcPr>
          <w:p>
            <w:pPr>
              <w:jc w:val="right"/>
              <w:rPr>
                <w:rFonts w:ascii="Times New Roman" w:hAnsi="Times New Roman" w:cs="Times New Roman"/>
                <w:sz w:val="18"/>
                <w:szCs w:val="18"/>
              </w:rPr>
            </w:pPr>
            <w:r>
              <w:rPr>
                <w:rFonts w:ascii="Times New Roman" w:hAnsi="Times New Roman" w:cs="Times New Roman"/>
                <w:sz w:val="18"/>
                <w:szCs w:val="18"/>
              </w:rPr>
              <w:t>191.95</w:t>
            </w:r>
          </w:p>
          <w:p>
            <w:pPr>
              <w:jc w:val="right"/>
              <w:rPr>
                <w:rFonts w:ascii="Times New Roman" w:hAnsi="Times New Roman" w:eastAsia="宋体" w:cs="Times New Roman"/>
                <w:color w:val="000000"/>
                <w:sz w:val="18"/>
                <w:szCs w:val="18"/>
              </w:rPr>
            </w:pPr>
          </w:p>
        </w:tc>
        <w:tc>
          <w:tcPr>
            <w:tcW w:w="567" w:type="pct"/>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572" w:type="pct"/>
            <w:tcBorders>
              <w:top w:val="nil"/>
              <w:left w:val="nil"/>
              <w:bottom w:val="single" w:color="000000" w:sz="8"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本年度一般公共预算财政拨款、政府性基金预算财政拨款和国有资本经营预算财政拨款的总收支和年末结转结余情况。</w:t>
            </w:r>
          </w:p>
        </w:tc>
      </w:tr>
    </w:tbl>
    <w:p>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1599" w:tblpY="-23"/>
        <w:tblOverlap w:val="never"/>
        <w:tblW w:w="5000" w:type="pct"/>
        <w:tblInd w:w="0" w:type="dxa"/>
        <w:tblLayout w:type="autofit"/>
        <w:tblCellMar>
          <w:top w:w="0" w:type="dxa"/>
          <w:left w:w="108" w:type="dxa"/>
          <w:bottom w:w="0" w:type="dxa"/>
          <w:right w:w="108" w:type="dxa"/>
        </w:tblCellMar>
      </w:tblPr>
      <w:tblGrid>
        <w:gridCol w:w="1183"/>
        <w:gridCol w:w="3096"/>
        <w:gridCol w:w="1058"/>
        <w:gridCol w:w="2113"/>
        <w:gridCol w:w="2205"/>
        <w:gridCol w:w="968"/>
        <w:gridCol w:w="3369"/>
      </w:tblGrid>
      <w:tr>
        <w:tblPrEx>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一般公共预算财政拨款支出决算表</w:t>
            </w:r>
          </w:p>
        </w:tc>
      </w:tr>
      <w:tr>
        <w:tblPrEx>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05</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1907" w:type="pct"/>
            <w:gridSpan w:val="3"/>
            <w:tcBorders>
              <w:top w:val="nil"/>
              <w:left w:val="nil"/>
              <w:bottom w:val="single" w:color="auto" w:sz="4" w:space="0"/>
              <w:right w:val="nil"/>
            </w:tcBorders>
            <w:noWrap/>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编制单位：石家庄市对外交流合作中心</w:t>
            </w:r>
          </w:p>
        </w:tc>
        <w:tc>
          <w:tcPr>
            <w:tcW w:w="1543" w:type="pct"/>
            <w:gridSpan w:val="2"/>
            <w:tcBorders>
              <w:top w:val="nil"/>
              <w:left w:val="nil"/>
              <w:bottom w:val="single" w:color="auto" w:sz="4" w:space="0"/>
              <w:right w:val="nil"/>
            </w:tcBorders>
            <w:noWrap/>
            <w:vAlign w:val="bottom"/>
          </w:tcPr>
          <w:p>
            <w:pPr>
              <w:widowControl/>
              <w:jc w:val="center"/>
              <w:textAlignment w:val="bottom"/>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1549" w:type="pct"/>
            <w:gridSpan w:val="2"/>
            <w:tcBorders>
              <w:top w:val="nil"/>
              <w:left w:val="nil"/>
              <w:bottom w:val="single" w:color="auto" w:sz="4" w:space="0"/>
              <w:right w:val="nil"/>
            </w:tcBorders>
            <w:noWrap/>
            <w:vAlign w:val="bottom"/>
          </w:tcPr>
          <w:p>
            <w:pPr>
              <w:widowControl/>
              <w:jc w:val="right"/>
              <w:textAlignment w:val="bottom"/>
              <w:rPr>
                <w:rFonts w:hint="eastAsia" w:ascii="方正仿宋_GB2312" w:hAnsi="方正仿宋_GB2312" w:eastAsia="方正仿宋_GB2312" w:cs="方正仿宋_GB2312"/>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445" w:hRule="atLeast"/>
        </w:trPr>
        <w:tc>
          <w:tcPr>
            <w:tcW w:w="1529"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3470" w:type="pct"/>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w:t>
            </w:r>
          </w:p>
        </w:tc>
      </w:tr>
      <w:tr>
        <w:tblPrEx>
          <w:tblCellMar>
            <w:top w:w="0" w:type="dxa"/>
            <w:left w:w="108" w:type="dxa"/>
            <w:bottom w:w="0" w:type="dxa"/>
            <w:right w:w="108" w:type="dxa"/>
          </w:tblCellMar>
        </w:tblPrEx>
        <w:trPr>
          <w:trHeight w:val="312" w:hRule="atLeast"/>
        </w:trPr>
        <w:tc>
          <w:tcPr>
            <w:tcW w:w="423"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1106"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133" w:type="pct"/>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1134" w:type="pct"/>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1202"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r>
      <w:tr>
        <w:tblPrEx>
          <w:tblCellMar>
            <w:top w:w="0" w:type="dxa"/>
            <w:left w:w="108" w:type="dxa"/>
            <w:bottom w:w="0" w:type="dxa"/>
            <w:right w:w="108" w:type="dxa"/>
          </w:tblCellMar>
        </w:tblPrEx>
        <w:trPr>
          <w:trHeight w:val="312" w:hRule="atLeast"/>
        </w:trPr>
        <w:tc>
          <w:tcPr>
            <w:tcW w:w="423"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1106"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1133"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1134"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1202"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12" w:hRule="atLeast"/>
        </w:trPr>
        <w:tc>
          <w:tcPr>
            <w:tcW w:w="423"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1106"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1133"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1134"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1202"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08" w:hRule="atLeast"/>
        </w:trPr>
        <w:tc>
          <w:tcPr>
            <w:tcW w:w="1529"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133"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1</w:t>
            </w:r>
          </w:p>
        </w:tc>
        <w:tc>
          <w:tcPr>
            <w:tcW w:w="1134"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2</w:t>
            </w:r>
          </w:p>
        </w:tc>
        <w:tc>
          <w:tcPr>
            <w:tcW w:w="120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3</w:t>
            </w:r>
          </w:p>
        </w:tc>
      </w:tr>
      <w:tr>
        <w:tblPrEx>
          <w:tblCellMar>
            <w:top w:w="0" w:type="dxa"/>
            <w:left w:w="108" w:type="dxa"/>
            <w:bottom w:w="0" w:type="dxa"/>
            <w:right w:w="108" w:type="dxa"/>
          </w:tblCellMar>
        </w:tblPrEx>
        <w:trPr>
          <w:trHeight w:val="308" w:hRule="atLeast"/>
        </w:trPr>
        <w:tc>
          <w:tcPr>
            <w:tcW w:w="1529"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133"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191.95</w:t>
            </w:r>
          </w:p>
        </w:tc>
        <w:tc>
          <w:tcPr>
            <w:tcW w:w="113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191.95</w:t>
            </w:r>
          </w:p>
        </w:tc>
        <w:tc>
          <w:tcPr>
            <w:tcW w:w="120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42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w:t>
            </w:r>
          </w:p>
        </w:tc>
        <w:tc>
          <w:tcPr>
            <w:tcW w:w="110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一般公共服务支出</w:t>
            </w:r>
          </w:p>
        </w:tc>
        <w:tc>
          <w:tcPr>
            <w:tcW w:w="1133"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133.95</w:t>
            </w:r>
          </w:p>
        </w:tc>
        <w:tc>
          <w:tcPr>
            <w:tcW w:w="113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133.95</w:t>
            </w:r>
          </w:p>
        </w:tc>
        <w:tc>
          <w:tcPr>
            <w:tcW w:w="120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42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w:t>
            </w:r>
          </w:p>
        </w:tc>
        <w:tc>
          <w:tcPr>
            <w:tcW w:w="110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政府办公厅（室）及相关机构事务</w:t>
            </w:r>
          </w:p>
        </w:tc>
        <w:tc>
          <w:tcPr>
            <w:tcW w:w="1133"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133.95</w:t>
            </w:r>
          </w:p>
        </w:tc>
        <w:tc>
          <w:tcPr>
            <w:tcW w:w="113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133.95</w:t>
            </w:r>
          </w:p>
        </w:tc>
        <w:tc>
          <w:tcPr>
            <w:tcW w:w="120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42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2010350</w:t>
            </w:r>
          </w:p>
        </w:tc>
        <w:tc>
          <w:tcPr>
            <w:tcW w:w="110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事业运行</w:t>
            </w:r>
          </w:p>
        </w:tc>
        <w:tc>
          <w:tcPr>
            <w:tcW w:w="1133"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133.95</w:t>
            </w:r>
          </w:p>
        </w:tc>
        <w:tc>
          <w:tcPr>
            <w:tcW w:w="113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133.95</w:t>
            </w:r>
          </w:p>
        </w:tc>
        <w:tc>
          <w:tcPr>
            <w:tcW w:w="120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42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w:t>
            </w:r>
          </w:p>
        </w:tc>
        <w:tc>
          <w:tcPr>
            <w:tcW w:w="110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社会保障和就业支出</w:t>
            </w:r>
          </w:p>
        </w:tc>
        <w:tc>
          <w:tcPr>
            <w:tcW w:w="1133"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33.08</w:t>
            </w:r>
          </w:p>
        </w:tc>
        <w:tc>
          <w:tcPr>
            <w:tcW w:w="113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33.08</w:t>
            </w:r>
          </w:p>
        </w:tc>
        <w:tc>
          <w:tcPr>
            <w:tcW w:w="120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42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w:t>
            </w:r>
          </w:p>
        </w:tc>
        <w:tc>
          <w:tcPr>
            <w:tcW w:w="110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行政事业单位养老支出</w:t>
            </w:r>
          </w:p>
        </w:tc>
        <w:tc>
          <w:tcPr>
            <w:tcW w:w="1133"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33.08</w:t>
            </w:r>
          </w:p>
        </w:tc>
        <w:tc>
          <w:tcPr>
            <w:tcW w:w="113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33.08</w:t>
            </w:r>
          </w:p>
        </w:tc>
        <w:tc>
          <w:tcPr>
            <w:tcW w:w="120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42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2080502</w:t>
            </w:r>
          </w:p>
        </w:tc>
        <w:tc>
          <w:tcPr>
            <w:tcW w:w="110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事业单位离退休</w:t>
            </w:r>
          </w:p>
        </w:tc>
        <w:tc>
          <w:tcPr>
            <w:tcW w:w="1133"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18.15</w:t>
            </w:r>
          </w:p>
        </w:tc>
        <w:tc>
          <w:tcPr>
            <w:tcW w:w="113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18.15</w:t>
            </w:r>
          </w:p>
        </w:tc>
        <w:tc>
          <w:tcPr>
            <w:tcW w:w="120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42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2080505</w:t>
            </w:r>
          </w:p>
        </w:tc>
        <w:tc>
          <w:tcPr>
            <w:tcW w:w="110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机关事业单位基本养老保险缴费支出</w:t>
            </w:r>
          </w:p>
        </w:tc>
        <w:tc>
          <w:tcPr>
            <w:tcW w:w="1133"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14.93</w:t>
            </w:r>
          </w:p>
        </w:tc>
        <w:tc>
          <w:tcPr>
            <w:tcW w:w="113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14.93</w:t>
            </w:r>
          </w:p>
        </w:tc>
        <w:tc>
          <w:tcPr>
            <w:tcW w:w="120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42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w:t>
            </w:r>
          </w:p>
        </w:tc>
        <w:tc>
          <w:tcPr>
            <w:tcW w:w="110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卫生健康支出</w:t>
            </w:r>
          </w:p>
        </w:tc>
        <w:tc>
          <w:tcPr>
            <w:tcW w:w="1133"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10.91</w:t>
            </w:r>
          </w:p>
        </w:tc>
        <w:tc>
          <w:tcPr>
            <w:tcW w:w="113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10.91</w:t>
            </w:r>
          </w:p>
        </w:tc>
        <w:tc>
          <w:tcPr>
            <w:tcW w:w="120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42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w:t>
            </w:r>
          </w:p>
        </w:tc>
        <w:tc>
          <w:tcPr>
            <w:tcW w:w="110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行政事业单位医疗</w:t>
            </w:r>
          </w:p>
        </w:tc>
        <w:tc>
          <w:tcPr>
            <w:tcW w:w="1133"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10.91</w:t>
            </w:r>
          </w:p>
        </w:tc>
        <w:tc>
          <w:tcPr>
            <w:tcW w:w="113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10.91</w:t>
            </w:r>
          </w:p>
        </w:tc>
        <w:tc>
          <w:tcPr>
            <w:tcW w:w="120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42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2101102</w:t>
            </w:r>
          </w:p>
        </w:tc>
        <w:tc>
          <w:tcPr>
            <w:tcW w:w="110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事业单位医疗</w:t>
            </w:r>
          </w:p>
        </w:tc>
        <w:tc>
          <w:tcPr>
            <w:tcW w:w="1133"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10.91</w:t>
            </w:r>
          </w:p>
        </w:tc>
        <w:tc>
          <w:tcPr>
            <w:tcW w:w="113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10.91</w:t>
            </w:r>
          </w:p>
        </w:tc>
        <w:tc>
          <w:tcPr>
            <w:tcW w:w="120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42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w:t>
            </w:r>
          </w:p>
        </w:tc>
        <w:tc>
          <w:tcPr>
            <w:tcW w:w="110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住房保障支出</w:t>
            </w:r>
          </w:p>
        </w:tc>
        <w:tc>
          <w:tcPr>
            <w:tcW w:w="1133"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14.01</w:t>
            </w:r>
          </w:p>
        </w:tc>
        <w:tc>
          <w:tcPr>
            <w:tcW w:w="113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14.01</w:t>
            </w:r>
          </w:p>
        </w:tc>
        <w:tc>
          <w:tcPr>
            <w:tcW w:w="120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42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w:t>
            </w:r>
          </w:p>
        </w:tc>
        <w:tc>
          <w:tcPr>
            <w:tcW w:w="110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住房改革支出</w:t>
            </w:r>
          </w:p>
        </w:tc>
        <w:tc>
          <w:tcPr>
            <w:tcW w:w="1133"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14.01</w:t>
            </w:r>
          </w:p>
        </w:tc>
        <w:tc>
          <w:tcPr>
            <w:tcW w:w="113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14.01</w:t>
            </w:r>
          </w:p>
        </w:tc>
        <w:tc>
          <w:tcPr>
            <w:tcW w:w="120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423"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2210201</w:t>
            </w:r>
          </w:p>
        </w:tc>
        <w:tc>
          <w:tcPr>
            <w:tcW w:w="110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1133"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14.01</w:t>
            </w:r>
          </w:p>
        </w:tc>
        <w:tc>
          <w:tcPr>
            <w:tcW w:w="1134"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14.01</w:t>
            </w:r>
          </w:p>
        </w:tc>
        <w:tc>
          <w:tcPr>
            <w:tcW w:w="1202"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本年度一般公共预算财政拨款支出情况。</w:t>
            </w:r>
          </w:p>
        </w:tc>
      </w:tr>
    </w:tbl>
    <w:p>
      <w:pPr>
        <w:rPr>
          <w:rFonts w:hint="eastAsia" w:ascii="仿宋_GB2312" w:hAnsi="宋体" w:eastAsia="仿宋_GB2312"/>
          <w:b/>
          <w:sz w:val="32"/>
          <w:szCs w:val="32"/>
        </w:rPr>
      </w:pPr>
    </w:p>
    <w:tbl>
      <w:tblPr>
        <w:tblStyle w:val="11"/>
        <w:tblW w:w="5006" w:type="pct"/>
        <w:tblInd w:w="0" w:type="dxa"/>
        <w:tblLayout w:type="fixed"/>
        <w:tblCellMar>
          <w:top w:w="0" w:type="dxa"/>
          <w:left w:w="108" w:type="dxa"/>
          <w:bottom w:w="0" w:type="dxa"/>
          <w:right w:w="108" w:type="dxa"/>
        </w:tblCellMar>
      </w:tblPr>
      <w:tblGrid>
        <w:gridCol w:w="738"/>
        <w:gridCol w:w="2324"/>
        <w:gridCol w:w="1648"/>
        <w:gridCol w:w="1203"/>
        <w:gridCol w:w="325"/>
        <w:gridCol w:w="1364"/>
        <w:gridCol w:w="1067"/>
        <w:gridCol w:w="981"/>
        <w:gridCol w:w="2401"/>
        <w:gridCol w:w="1936"/>
        <w:gridCol w:w="22"/>
      </w:tblGrid>
      <w:tr>
        <w:tblPrEx>
          <w:tblCellMar>
            <w:top w:w="0" w:type="dxa"/>
            <w:left w:w="108" w:type="dxa"/>
            <w:bottom w:w="0" w:type="dxa"/>
            <w:right w:w="108" w:type="dxa"/>
          </w:tblCellMar>
        </w:tblPrEx>
        <w:trPr>
          <w:gridAfter w:val="1"/>
          <w:wAfter w:w="8" w:type="pct"/>
          <w:trHeight w:val="624" w:hRule="atLeast"/>
        </w:trPr>
        <w:tc>
          <w:tcPr>
            <w:tcW w:w="4991" w:type="pct"/>
            <w:gridSpan w:val="10"/>
            <w:tcBorders>
              <w:top w:val="nil"/>
              <w:left w:val="nil"/>
              <w:bottom w:val="nil"/>
              <w:right w:val="nil"/>
            </w:tcBorders>
            <w:noWrap/>
            <w:vAlign w:val="bottom"/>
          </w:tcPr>
          <w:p>
            <w:pPr>
              <w:widowControl/>
              <w:jc w:val="center"/>
              <w:textAlignment w:val="bottom"/>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一般公共预算财政拨款基本支出决算表</w:t>
            </w:r>
          </w:p>
        </w:tc>
      </w:tr>
      <w:tr>
        <w:tblPrEx>
          <w:tblCellMar>
            <w:top w:w="0" w:type="dxa"/>
            <w:left w:w="108" w:type="dxa"/>
            <w:bottom w:w="0" w:type="dxa"/>
            <w:right w:w="108" w:type="dxa"/>
          </w:tblCellMar>
        </w:tblPrEx>
        <w:trPr>
          <w:gridAfter w:val="1"/>
          <w:wAfter w:w="8" w:type="pct"/>
          <w:trHeight w:val="300" w:hRule="atLeast"/>
        </w:trPr>
        <w:tc>
          <w:tcPr>
            <w:tcW w:w="4991" w:type="pct"/>
            <w:gridSpan w:val="10"/>
            <w:tcBorders>
              <w:top w:val="nil"/>
              <w:left w:val="nil"/>
              <w:bottom w:val="nil"/>
              <w:right w:val="nil"/>
            </w:tcBorders>
            <w:noWrap/>
            <w:vAlign w:val="bottom"/>
          </w:tcPr>
          <w:p>
            <w:pPr>
              <w:widowControl/>
              <w:jc w:val="right"/>
              <w:textAlignment w:val="bottom"/>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06</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90" w:hRule="atLeast"/>
        </w:trPr>
        <w:tc>
          <w:tcPr>
            <w:tcW w:w="2225" w:type="pct"/>
            <w:gridSpan w:val="5"/>
            <w:tcBorders>
              <w:top w:val="nil"/>
              <w:left w:val="nil"/>
              <w:bottom w:val="single" w:color="auto" w:sz="4" w:space="0"/>
              <w:right w:val="nil"/>
            </w:tcBorders>
            <w:noWrap/>
            <w:vAlign w:val="bottom"/>
          </w:tcPr>
          <w:p>
            <w:pP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 xml:space="preserve">编制单位：石家庄市对外交流合作中心 </w:t>
            </w:r>
            <w:r>
              <w:rPr>
                <w:rFonts w:hint="eastAsia" w:asciiTheme="minorEastAsia" w:hAnsiTheme="minorEastAsia" w:cstheme="minorEastAsia"/>
                <w:color w:val="000000"/>
                <w:sz w:val="18"/>
                <w:szCs w:val="18"/>
                <w:lang w:bidi="ar"/>
              </w:rPr>
              <w:t xml:space="preserve">                                                                   </w:t>
            </w:r>
          </w:p>
        </w:tc>
        <w:tc>
          <w:tcPr>
            <w:tcW w:w="1218" w:type="pct"/>
            <w:gridSpan w:val="3"/>
            <w:tcBorders>
              <w:top w:val="nil"/>
              <w:left w:val="nil"/>
              <w:bottom w:val="single" w:color="auto" w:sz="4" w:space="0"/>
              <w:right w:val="nil"/>
            </w:tcBorders>
            <w:noWrap/>
            <w:vAlign w:val="bottom"/>
          </w:tcPr>
          <w:p>
            <w:pPr>
              <w:jc w:val="center"/>
              <w:rPr>
                <w:rFonts w:hint="eastAsia" w:asciiTheme="minorEastAsia" w:hAnsiTheme="minorEastAsia" w:cstheme="minorEastAsia"/>
                <w:color w:val="000000"/>
                <w:sz w:val="18"/>
                <w:szCs w:val="18"/>
                <w:lang w:bidi="ar"/>
              </w:rPr>
            </w:pPr>
            <w:r>
              <w:rPr>
                <w:rFonts w:hint="eastAsia" w:asciiTheme="minorEastAsia" w:hAnsiTheme="minorEastAsia" w:cstheme="minorEastAsia"/>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1555" w:type="pct"/>
            <w:gridSpan w:val="3"/>
            <w:tcBorders>
              <w:top w:val="nil"/>
              <w:left w:val="nil"/>
              <w:bottom w:val="single" w:color="auto" w:sz="4" w:space="0"/>
              <w:right w:val="nil"/>
            </w:tcBorders>
            <w:noWrap/>
            <w:vAlign w:val="bottom"/>
          </w:tcPr>
          <w:p>
            <w:pPr>
              <w:jc w:val="right"/>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gridAfter w:val="1"/>
          <w:wAfter w:w="8" w:type="pct"/>
          <w:trHeight w:val="510" w:hRule="atLeast"/>
        </w:trPr>
        <w:tc>
          <w:tcPr>
            <w:tcW w:w="2109" w:type="pct"/>
            <w:gridSpan w:val="4"/>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人员经费</w:t>
            </w:r>
          </w:p>
        </w:tc>
        <w:tc>
          <w:tcPr>
            <w:tcW w:w="2882" w:type="pct"/>
            <w:gridSpan w:val="6"/>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公用经费</w:t>
            </w: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58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428" w:type="pc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38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350" w:type="pc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69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工资福利支出</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165.09</w:t>
            </w: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商品和服务支出</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8.67</w:t>
            </w: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债务利息及费用支出</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30101</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基本工资</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40.69</w:t>
            </w: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30201</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0.39</w:t>
            </w: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30701</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国内债务付息</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30102</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津贴补贴</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18.35</w:t>
            </w: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30202</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印刷费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30702</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国外债务付息</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30103</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奖金</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13.05</w:t>
            </w: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30203</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咨询费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资本性支出</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30106</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伙食补助费</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30204</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手续费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31001</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房屋建筑物购建</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30107</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绩效工资</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52.78</w:t>
            </w: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30205</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水费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31002</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办公设备购置</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30108</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机关事业单位基本养老保险缴费</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14.93</w:t>
            </w: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30206</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电费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31003</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专用设备购置</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30109</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职业年金缴费</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30207</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邮电费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31005</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基础设施建设</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30110</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职工基本医疗保险缴费</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10.91</w:t>
            </w: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30208</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取暖费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31006</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大型修缮</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30111</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公务员医疗补助缴费</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30209</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物业管理费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31007</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信息网络及软件购置更新</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30112</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其他社会保障缴费</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0.37</w:t>
            </w: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30211</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差旅费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4.57</w:t>
            </w: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31008</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物资储备</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30113</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住房公积金</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14.01</w:t>
            </w: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30212</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因公出国（境）费用</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31009</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土地补偿</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30114</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30213</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维修（护）费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31010</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安置补助</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30199</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其他工资福利支出</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30214</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租赁费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31011</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地上附着物和青苗补偿</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对个人和家庭的补助</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18.20</w:t>
            </w: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30215</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会议费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31012</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拆迁补偿</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30301</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离休费</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30216</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培训费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31013</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30302</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退休费</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18.15</w:t>
            </w: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30217</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31019</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其他交通工具购置</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30303</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退职（役）费</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30218</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专用材料费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31021</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文物和陈列品购置</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30304</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抚恤金</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30224</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被装购置费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31022</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无形资产购置</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30305</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生活补助</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30225</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专用燃料费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31099</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其他资本性支出</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30306</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救济费</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30226</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劳务费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对企业补助</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30307</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医疗费补助</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30227</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委托业务费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31201</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资本金注入</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30308</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助学金</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30228</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工会经费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1.35</w:t>
            </w: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31203</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政府投资基金股权投资</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30309</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奖励金</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0.05</w:t>
            </w: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30229</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福利费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0.97</w:t>
            </w: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31204</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费用补贴</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30310</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个人农业生产补贴</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30231</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31205</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利息补贴</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30311</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代缴社会保险费</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30239</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其他交通费用</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31299</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其他对企业补助</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30399</w:t>
            </w:r>
          </w:p>
        </w:tc>
        <w:tc>
          <w:tcPr>
            <w:tcW w:w="828"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其他对个人和家庭的补助</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30240</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税金及附加费用</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cstheme="minorEastAsia"/>
                <w:color w:val="000000"/>
                <w:sz w:val="18"/>
                <w:szCs w:val="18"/>
              </w:rPr>
            </w:pPr>
          </w:p>
        </w:tc>
        <w:tc>
          <w:tcPr>
            <w:tcW w:w="82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588"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30299</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其他商品和服务支出</w:t>
            </w:r>
          </w:p>
        </w:tc>
        <w:tc>
          <w:tcPr>
            <w:tcW w:w="381"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1.39</w:t>
            </w: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39907</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国家赔偿费用支出</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cstheme="minorEastAsia"/>
                <w:color w:val="000000"/>
                <w:sz w:val="18"/>
                <w:szCs w:val="18"/>
              </w:rPr>
            </w:pPr>
          </w:p>
        </w:tc>
        <w:tc>
          <w:tcPr>
            <w:tcW w:w="82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58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42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381"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39908</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对民间非营利组织和群众性自治组织补贴</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cstheme="minorEastAsia"/>
                <w:color w:val="000000"/>
                <w:sz w:val="18"/>
                <w:szCs w:val="18"/>
              </w:rPr>
            </w:pPr>
          </w:p>
        </w:tc>
        <w:tc>
          <w:tcPr>
            <w:tcW w:w="82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58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42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381"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39909</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经常性赠与</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cstheme="minorEastAsia"/>
                <w:color w:val="000000"/>
                <w:sz w:val="18"/>
                <w:szCs w:val="18"/>
              </w:rPr>
            </w:pPr>
          </w:p>
        </w:tc>
        <w:tc>
          <w:tcPr>
            <w:tcW w:w="82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58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42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381"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39910</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资本性赠与</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cstheme="minorEastAsia"/>
                <w:color w:val="000000"/>
                <w:sz w:val="18"/>
                <w:szCs w:val="18"/>
              </w:rPr>
            </w:pPr>
          </w:p>
        </w:tc>
        <w:tc>
          <w:tcPr>
            <w:tcW w:w="82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58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42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381"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39999</w:t>
            </w:r>
          </w:p>
        </w:tc>
        <w:tc>
          <w:tcPr>
            <w:tcW w:w="856"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8" w:type="pct"/>
          <w:trHeight w:val="510" w:hRule="atLeast"/>
        </w:trPr>
        <w:tc>
          <w:tcPr>
            <w:tcW w:w="1092"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lang w:bidi="ar"/>
              </w:rPr>
              <w:t>人员经费合计</w:t>
            </w:r>
          </w:p>
        </w:tc>
        <w:tc>
          <w:tcPr>
            <w:tcW w:w="58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ascii="Times New Roman" w:hAnsi="Times New Roman" w:cs="Times New Roman"/>
                <w:sz w:val="18"/>
                <w:szCs w:val="18"/>
              </w:rPr>
              <w:t>183.29</w:t>
            </w:r>
          </w:p>
        </w:tc>
        <w:tc>
          <w:tcPr>
            <w:tcW w:w="2620" w:type="pct"/>
            <w:gridSpan w:val="6"/>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公用经费合计</w:t>
            </w:r>
          </w:p>
        </w:tc>
        <w:tc>
          <w:tcPr>
            <w:tcW w:w="690"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r>
              <w:rPr>
                <w:rFonts w:ascii="Times New Roman" w:hAnsi="Times New Roman" w:cs="Times New Roman"/>
                <w:sz w:val="18"/>
                <w:szCs w:val="18"/>
              </w:rPr>
              <w:t>8.67</w:t>
            </w:r>
          </w:p>
        </w:tc>
      </w:tr>
      <w:tr>
        <w:tblPrEx>
          <w:tblCellMar>
            <w:top w:w="0" w:type="dxa"/>
            <w:left w:w="108" w:type="dxa"/>
            <w:bottom w:w="0" w:type="dxa"/>
            <w:right w:w="108" w:type="dxa"/>
          </w:tblCellMar>
        </w:tblPrEx>
        <w:trPr>
          <w:gridAfter w:val="1"/>
          <w:wAfter w:w="8" w:type="pct"/>
          <w:trHeight w:val="510" w:hRule="atLeast"/>
        </w:trPr>
        <w:tc>
          <w:tcPr>
            <w:tcW w:w="4991" w:type="pct"/>
            <w:gridSpan w:val="10"/>
            <w:tcBorders>
              <w:top w:val="single" w:color="auto" w:sz="4" w:space="0"/>
              <w:left w:val="nil"/>
              <w:bottom w:val="nil"/>
              <w:right w:val="nil"/>
            </w:tcBorders>
            <w:noWrap/>
            <w:vAlign w:val="center"/>
          </w:tcPr>
          <w:p>
            <w:pPr>
              <w:widowControl/>
              <w:jc w:val="left"/>
              <w:textAlignment w:val="cente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本年度一般公共预算财政拨款基本支出明细情况。</w:t>
            </w:r>
          </w:p>
        </w:tc>
      </w:tr>
    </w:tbl>
    <w:p>
      <w:pPr>
        <w:rPr>
          <w:rFonts w:hint="eastAsia" w:ascii="仿宋_GB2312" w:hAnsi="宋体" w:eastAsia="仿宋_GB2312"/>
          <w:b/>
          <w:sz w:val="32"/>
          <w:szCs w:val="32"/>
        </w:rPr>
      </w:pPr>
      <w:r>
        <w:rPr>
          <w:rFonts w:hint="eastAsia" w:ascii="仿宋_GB2312" w:hAnsi="宋体" w:eastAsia="仿宋_GB2312"/>
          <w:b/>
          <w:sz w:val="32"/>
          <w:szCs w:val="32"/>
        </w:rPr>
        <w:br w:type="page"/>
      </w:r>
    </w:p>
    <w:p>
      <w:pPr>
        <w:jc w:val="center"/>
        <w:rPr>
          <w:rFonts w:hint="eastAsia" w:ascii="仿宋_GB2312" w:hAnsi="宋体" w:eastAsia="仿宋_GB2312"/>
          <w:b/>
          <w:sz w:val="32"/>
          <w:szCs w:val="32"/>
        </w:rPr>
      </w:pPr>
    </w:p>
    <w:tbl>
      <w:tblPr>
        <w:tblStyle w:val="11"/>
        <w:tblW w:w="5000" w:type="pct"/>
        <w:tblInd w:w="0" w:type="dxa"/>
        <w:tblLayout w:type="autofit"/>
        <w:tblCellMar>
          <w:top w:w="0" w:type="dxa"/>
          <w:left w:w="108" w:type="dxa"/>
          <w:bottom w:w="0" w:type="dxa"/>
          <w:right w:w="108" w:type="dxa"/>
        </w:tblCellMar>
      </w:tblPr>
      <w:tblGrid>
        <w:gridCol w:w="770"/>
        <w:gridCol w:w="1223"/>
        <w:gridCol w:w="1995"/>
        <w:gridCol w:w="674"/>
        <w:gridCol w:w="1321"/>
        <w:gridCol w:w="1995"/>
        <w:gridCol w:w="1343"/>
        <w:gridCol w:w="652"/>
        <w:gridCol w:w="2006"/>
        <w:gridCol w:w="2013"/>
      </w:tblGrid>
      <w:tr>
        <w:tblPrEx>
          <w:tblCellMar>
            <w:top w:w="0" w:type="dxa"/>
            <w:left w:w="108" w:type="dxa"/>
            <w:bottom w:w="0" w:type="dxa"/>
            <w:right w:w="108" w:type="dxa"/>
          </w:tblCellMar>
        </w:tblPrEx>
        <w:trPr>
          <w:trHeight w:val="550" w:hRule="atLeast"/>
        </w:trPr>
        <w:tc>
          <w:tcPr>
            <w:tcW w:w="5000" w:type="pct"/>
            <w:gridSpan w:val="10"/>
            <w:tcBorders>
              <w:top w:val="nil"/>
              <w:left w:val="nil"/>
              <w:bottom w:val="nil"/>
              <w:right w:val="nil"/>
            </w:tcBorders>
            <w:noWrap/>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政府性基金预算财政拨款收入支出决算表</w:t>
            </w:r>
          </w:p>
        </w:tc>
      </w:tr>
      <w:tr>
        <w:tblPrEx>
          <w:tblCellMar>
            <w:top w:w="0" w:type="dxa"/>
            <w:left w:w="108" w:type="dxa"/>
            <w:bottom w:w="0" w:type="dxa"/>
            <w:right w:w="108" w:type="dxa"/>
          </w:tblCellMar>
        </w:tblPrEx>
        <w:trPr>
          <w:trHeight w:val="90" w:hRule="atLeast"/>
        </w:trPr>
        <w:tc>
          <w:tcPr>
            <w:tcW w:w="5000" w:type="pct"/>
            <w:gridSpan w:val="10"/>
            <w:tcBorders>
              <w:top w:val="nil"/>
              <w:left w:val="nil"/>
              <w:bottom w:val="nil"/>
              <w:right w:val="nil"/>
            </w:tcBorders>
            <w:noWrap/>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宋体" w:cs="Times New Roman"/>
                <w:color w:val="000000"/>
                <w:sz w:val="18"/>
                <w:szCs w:val="18"/>
                <w:lang w:bidi="ar"/>
              </w:rPr>
              <w:t>07</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1666" w:type="pct"/>
            <w:gridSpan w:val="4"/>
            <w:tcBorders>
              <w:top w:val="nil"/>
              <w:left w:val="nil"/>
              <w:bottom w:val="single" w:color="auto" w:sz="4" w:space="0"/>
              <w:right w:val="nil"/>
            </w:tcBorders>
            <w:noWrap/>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 xml:space="preserve">编制单位：石家庄市对外交流合作中心 </w:t>
            </w:r>
            <w:r>
              <w:rPr>
                <w:rFonts w:hint="eastAsia" w:ascii="宋体" w:hAnsi="宋体" w:eastAsia="宋体"/>
                <w:color w:val="000000"/>
                <w:sz w:val="18"/>
                <w:szCs w:val="18"/>
                <w:lang w:bidi="ar"/>
              </w:rPr>
              <w:t xml:space="preserve">                                                                                     </w:t>
            </w:r>
          </w:p>
        </w:tc>
        <w:tc>
          <w:tcPr>
            <w:tcW w:w="1665" w:type="pct"/>
            <w:gridSpan w:val="3"/>
            <w:tcBorders>
              <w:top w:val="nil"/>
              <w:left w:val="nil"/>
              <w:bottom w:val="single" w:color="auto" w:sz="4" w:space="0"/>
              <w:right w:val="nil"/>
            </w:tcBorders>
            <w:noWrap/>
            <w:vAlign w:val="bottom"/>
          </w:tcPr>
          <w:p>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1667" w:type="pct"/>
            <w:gridSpan w:val="3"/>
            <w:tcBorders>
              <w:top w:val="nil"/>
              <w:left w:val="nil"/>
              <w:bottom w:val="single" w:color="auto" w:sz="4" w:space="0"/>
              <w:right w:val="nil"/>
            </w:tcBorders>
            <w:noWrap/>
            <w:vAlign w:val="bottom"/>
          </w:tcPr>
          <w:p>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308" w:hRule="atLeast"/>
        </w:trPr>
        <w:tc>
          <w:tcPr>
            <w:tcW w:w="712" w:type="pct"/>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713"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年初结转和结余</w:t>
            </w:r>
          </w:p>
        </w:tc>
        <w:tc>
          <w:tcPr>
            <w:tcW w:w="713" w:type="pct"/>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本年收入</w:t>
            </w:r>
          </w:p>
        </w:tc>
        <w:tc>
          <w:tcPr>
            <w:tcW w:w="2143" w:type="pct"/>
            <w:gridSpan w:val="4"/>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w:t>
            </w:r>
          </w:p>
        </w:tc>
        <w:tc>
          <w:tcPr>
            <w:tcW w:w="716" w:type="pct"/>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年末结转和结余</w:t>
            </w:r>
          </w:p>
        </w:tc>
      </w:tr>
      <w:tr>
        <w:tblPrEx>
          <w:tblCellMar>
            <w:top w:w="0" w:type="dxa"/>
            <w:left w:w="108" w:type="dxa"/>
            <w:bottom w:w="0" w:type="dxa"/>
            <w:right w:w="108" w:type="dxa"/>
          </w:tblCellMar>
        </w:tblPrEx>
        <w:trPr>
          <w:trHeight w:val="312" w:hRule="atLeast"/>
        </w:trPr>
        <w:tc>
          <w:tcPr>
            <w:tcW w:w="275" w:type="pct"/>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437" w:type="pct"/>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713" w:type="pct"/>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713" w:type="pct"/>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713" w:type="pct"/>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713" w:type="pct"/>
            <w:gridSpan w:val="2"/>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715" w:type="pct"/>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c>
          <w:tcPr>
            <w:tcW w:w="716" w:type="pct"/>
            <w:vMerge w:val="continue"/>
            <w:tcBorders>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结转</w:t>
            </w:r>
          </w:p>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结余</w:t>
            </w:r>
          </w:p>
        </w:tc>
      </w:tr>
      <w:tr>
        <w:tblPrEx>
          <w:tblCellMar>
            <w:top w:w="0" w:type="dxa"/>
            <w:left w:w="108" w:type="dxa"/>
            <w:bottom w:w="0" w:type="dxa"/>
            <w:right w:w="108" w:type="dxa"/>
          </w:tblCellMar>
        </w:tblPrEx>
        <w:trPr>
          <w:trHeight w:val="312" w:hRule="atLeast"/>
        </w:trPr>
        <w:tc>
          <w:tcPr>
            <w:tcW w:w="275" w:type="pct"/>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437" w:type="pct"/>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713" w:type="pct"/>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713" w:type="pct"/>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713" w:type="pct"/>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713" w:type="pct"/>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715" w:type="pct"/>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716" w:type="pct"/>
            <w:vMerge w:val="continue"/>
            <w:tcBorders>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312" w:hRule="atLeast"/>
        </w:trPr>
        <w:tc>
          <w:tcPr>
            <w:tcW w:w="275" w:type="pct"/>
            <w:vMerge w:val="continue"/>
            <w:tcBorders>
              <w:top w:val="nil"/>
              <w:left w:val="single" w:color="000000" w:sz="4" w:space="0"/>
              <w:bottom w:val="single" w:color="auto"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437" w:type="pct"/>
            <w:vMerge w:val="continue"/>
            <w:tcBorders>
              <w:top w:val="nil"/>
              <w:left w:val="nil"/>
              <w:bottom w:val="single" w:color="auto"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713" w:type="pct"/>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713" w:type="pct"/>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713" w:type="pct"/>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713" w:type="pct"/>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715" w:type="pct"/>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716" w:type="pct"/>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308" w:hRule="atLeast"/>
        </w:trPr>
        <w:tc>
          <w:tcPr>
            <w:tcW w:w="712"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713" w:type="pct"/>
            <w:tcBorders>
              <w:top w:val="nil"/>
              <w:left w:val="single" w:color="auto"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713"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713"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713"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715"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71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r>
      <w:tr>
        <w:tblPrEx>
          <w:tblCellMar>
            <w:top w:w="0" w:type="dxa"/>
            <w:left w:w="108" w:type="dxa"/>
            <w:bottom w:w="0" w:type="dxa"/>
            <w:right w:w="108" w:type="dxa"/>
          </w:tblCellMar>
        </w:tblPrEx>
        <w:trPr>
          <w:trHeight w:val="869" w:hRule="atLeast"/>
        </w:trPr>
        <w:tc>
          <w:tcPr>
            <w:tcW w:w="712"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713" w:type="pct"/>
            <w:tcBorders>
              <w:top w:val="nil"/>
              <w:left w:val="single" w:color="auto"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713"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71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713"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71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5000" w:type="pct"/>
            <w:gridSpan w:val="10"/>
            <w:tcBorders>
              <w:top w:val="nil"/>
              <w:left w:val="nil"/>
              <w:bottom w:val="nil"/>
              <w:right w:val="nil"/>
            </w:tcBorders>
            <w:noWrap/>
            <w:vAlign w:val="center"/>
          </w:tcPr>
          <w:p>
            <w:pPr>
              <w:rPr>
                <w:rFonts w:hint="eastAsia" w:ascii="方正仿宋_GB2312" w:hAnsi="方正仿宋_GB2312" w:eastAsia="方正仿宋_GB2312" w:cs="方正仿宋_GB2312"/>
                <w:color w:val="000000"/>
                <w:sz w:val="18"/>
                <w:szCs w:val="18"/>
                <w:lang w:bidi="ar"/>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本年度政府性基金预算财政拨款收入、支出及结转和结余情况。</w:t>
            </w:r>
          </w:p>
          <w:p>
            <w:pPr>
              <w:ind w:firstLine="360" w:firstLineChars="200"/>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eastAsia="zh-CN" w:bidi="ar"/>
              </w:rPr>
              <w:t>本单位本年度无</w:t>
            </w:r>
            <w:r>
              <w:rPr>
                <w:rFonts w:hint="eastAsia" w:ascii="方正仿宋_GB2312" w:hAnsi="方正仿宋_GB2312" w:eastAsia="方正仿宋_GB2312" w:cs="方正仿宋_GB2312"/>
                <w:color w:val="000000"/>
                <w:sz w:val="18"/>
                <w:szCs w:val="18"/>
                <w:lang w:bidi="ar"/>
              </w:rPr>
              <w:t>政府性基金预算财政拨款收入、支出及结转和结余情况</w:t>
            </w:r>
            <w:r>
              <w:rPr>
                <w:rFonts w:hint="eastAsia" w:ascii="方正仿宋_GB2312" w:hAnsi="方正仿宋_GB2312" w:eastAsia="方正仿宋_GB2312" w:cs="方正仿宋_GB2312"/>
                <w:color w:val="000000"/>
                <w:sz w:val="18"/>
                <w:szCs w:val="18"/>
                <w:lang w:eastAsia="zh-CN" w:bidi="ar"/>
              </w:rPr>
              <w:t>，按要求空表列示。</w:t>
            </w:r>
            <w:r>
              <w:rPr>
                <w:rFonts w:hint="eastAsia" w:ascii="方正仿宋_GB2312" w:hAnsi="方正仿宋_GB2312" w:eastAsia="方正仿宋_GB2312" w:cs="方正仿宋_GB2312"/>
                <w:color w:val="000000"/>
                <w:sz w:val="18"/>
                <w:szCs w:val="18"/>
                <w:lang w:bidi="ar"/>
              </w:rPr>
              <w:br w:type="page"/>
            </w:r>
          </w:p>
        </w:tc>
      </w:tr>
    </w:tbl>
    <w:p>
      <w:pPr>
        <w:rPr>
          <w:rFonts w:hint="eastAsia" w:ascii="仿宋_GB2312" w:hAnsi="宋体" w:eastAsia="仿宋_GB2312"/>
          <w:b/>
          <w:sz w:val="32"/>
          <w:szCs w:val="32"/>
        </w:rPr>
      </w:pPr>
      <w:r>
        <w:rPr>
          <w:rFonts w:hint="eastAsia" w:ascii="仿宋_GB2312" w:hAnsi="宋体" w:eastAsia="仿宋_GB2312"/>
          <w:b/>
          <w:sz w:val="32"/>
          <w:szCs w:val="32"/>
        </w:rPr>
        <w:br w:type="page"/>
      </w:r>
    </w:p>
    <w:p>
      <w:pPr>
        <w:widowControl/>
        <w:jc w:val="center"/>
        <w:textAlignment w:val="bottom"/>
        <w:rPr>
          <w:rFonts w:hint="eastAsia" w:ascii="宋体" w:hAnsi="宋体" w:eastAsia="宋体"/>
          <w:spacing w:val="-2"/>
          <w:sz w:val="20"/>
        </w:rPr>
      </w:pPr>
    </w:p>
    <w:tbl>
      <w:tblPr>
        <w:tblStyle w:val="11"/>
        <w:tblW w:w="5000" w:type="pct"/>
        <w:tblInd w:w="0" w:type="dxa"/>
        <w:tblLayout w:type="fixed"/>
        <w:tblCellMar>
          <w:top w:w="0" w:type="dxa"/>
          <w:left w:w="108" w:type="dxa"/>
          <w:bottom w:w="0" w:type="dxa"/>
          <w:right w:w="108" w:type="dxa"/>
        </w:tblCellMar>
      </w:tblPr>
      <w:tblGrid>
        <w:gridCol w:w="3510"/>
        <w:gridCol w:w="1271"/>
        <w:gridCol w:w="2258"/>
        <w:gridCol w:w="2317"/>
        <w:gridCol w:w="8"/>
        <w:gridCol w:w="78"/>
        <w:gridCol w:w="2230"/>
        <w:gridCol w:w="17"/>
        <w:gridCol w:w="2303"/>
      </w:tblGrid>
      <w:tr>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国有资本经营预算财政拨款支出决算表</w:t>
            </w:r>
          </w:p>
        </w:tc>
      </w:tr>
      <w:tr>
        <w:tblPrEx>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08</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pPr>
              <w:widowControl/>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编制单位：石家庄市对外交流合作中心</w:t>
            </w:r>
          </w:p>
        </w:tc>
        <w:tc>
          <w:tcPr>
            <w:tcW w:w="1666" w:type="pct"/>
            <w:gridSpan w:val="4"/>
            <w:tcBorders>
              <w:top w:val="nil"/>
              <w:left w:val="nil"/>
              <w:bottom w:val="single" w:color="auto" w:sz="4" w:space="0"/>
              <w:right w:val="nil"/>
            </w:tcBorders>
            <w:noWrap/>
            <w:vAlign w:val="bottom"/>
          </w:tcPr>
          <w:p>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1624" w:type="pct"/>
            <w:gridSpan w:val="3"/>
            <w:tcBorders>
              <w:top w:val="nil"/>
              <w:left w:val="nil"/>
              <w:bottom w:val="single" w:color="auto" w:sz="4" w:space="0"/>
              <w:right w:val="nil"/>
            </w:tcBorders>
            <w:noWrap/>
            <w:vAlign w:val="bottom"/>
          </w:tcPr>
          <w:p>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项目</w:t>
            </w:r>
          </w:p>
        </w:tc>
        <w:tc>
          <w:tcPr>
            <w:tcW w:w="2484" w:type="pct"/>
            <w:gridSpan w:val="6"/>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本年支出</w:t>
            </w:r>
          </w:p>
        </w:tc>
      </w:tr>
      <w:tr>
        <w:tblPrEx>
          <w:tblCellMar>
            <w:top w:w="0" w:type="dxa"/>
            <w:left w:w="108" w:type="dxa"/>
            <w:bottom w:w="0" w:type="dxa"/>
            <w:right w:w="108" w:type="dxa"/>
          </w:tblCellMar>
        </w:tblPrEx>
        <w:trPr>
          <w:trHeight w:val="312" w:hRule="atLeast"/>
        </w:trPr>
        <w:tc>
          <w:tcPr>
            <w:tcW w:w="2515" w:type="pct"/>
            <w:gridSpan w:val="3"/>
            <w:vMerge w:val="continue"/>
            <w:tcBorders>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2484" w:type="pct"/>
            <w:gridSpan w:val="6"/>
            <w:vMerge w:val="continue"/>
            <w:tcBorders>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312" w:hRule="atLeast"/>
        </w:trPr>
        <w:tc>
          <w:tcPr>
            <w:tcW w:w="1254" w:type="pct"/>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260" w:type="pct"/>
            <w:gridSpan w:val="2"/>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831" w:type="pct"/>
            <w:gridSpan w:val="2"/>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831" w:type="pct"/>
            <w:gridSpan w:val="3"/>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基本支出</w:t>
            </w:r>
          </w:p>
        </w:tc>
        <w:tc>
          <w:tcPr>
            <w:tcW w:w="821" w:type="pct"/>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项目支出</w:t>
            </w:r>
          </w:p>
        </w:tc>
      </w:tr>
      <w:tr>
        <w:tblPrEx>
          <w:tblCellMar>
            <w:top w:w="0" w:type="dxa"/>
            <w:left w:w="108" w:type="dxa"/>
            <w:bottom w:w="0" w:type="dxa"/>
            <w:right w:w="108" w:type="dxa"/>
          </w:tblCellMar>
        </w:tblPrEx>
        <w:trPr>
          <w:trHeight w:val="312" w:hRule="atLeast"/>
        </w:trPr>
        <w:tc>
          <w:tcPr>
            <w:tcW w:w="1254" w:type="pct"/>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260" w:type="pct"/>
            <w:gridSpan w:val="2"/>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831" w:type="pct"/>
            <w:gridSpan w:val="2"/>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831" w:type="pct"/>
            <w:gridSpan w:val="3"/>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821" w:type="pct"/>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308" w:hRule="atLeast"/>
        </w:trPr>
        <w:tc>
          <w:tcPr>
            <w:tcW w:w="2515" w:type="pct"/>
            <w:gridSpan w:val="3"/>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栏次</w:t>
            </w:r>
          </w:p>
        </w:tc>
        <w:tc>
          <w:tcPr>
            <w:tcW w:w="828"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1</w:t>
            </w:r>
          </w:p>
        </w:tc>
        <w:tc>
          <w:tcPr>
            <w:tcW w:w="828" w:type="pct"/>
            <w:gridSpan w:val="3"/>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2</w:t>
            </w:r>
          </w:p>
        </w:tc>
        <w:tc>
          <w:tcPr>
            <w:tcW w:w="828"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3</w:t>
            </w:r>
          </w:p>
        </w:tc>
      </w:tr>
      <w:tr>
        <w:tblPrEx>
          <w:tblCellMar>
            <w:top w:w="0" w:type="dxa"/>
            <w:left w:w="108" w:type="dxa"/>
            <w:bottom w:w="0" w:type="dxa"/>
            <w:right w:w="108" w:type="dxa"/>
          </w:tblCellMar>
        </w:tblPrEx>
        <w:trPr>
          <w:trHeight w:val="308" w:hRule="atLeast"/>
        </w:trPr>
        <w:tc>
          <w:tcPr>
            <w:tcW w:w="2515" w:type="pct"/>
            <w:gridSpan w:val="3"/>
            <w:tcBorders>
              <w:top w:val="nil"/>
              <w:left w:val="nil"/>
              <w:bottom w:val="single" w:color="000000" w:sz="4" w:space="0"/>
              <w:right w:val="single" w:color="000000" w:sz="4" w:space="0"/>
            </w:tcBorders>
            <w:noWrap/>
            <w:vAlign w:val="center"/>
          </w:tcPr>
          <w:p>
            <w:pPr>
              <w:jc w:val="center"/>
              <w:rPr>
                <w:rFonts w:ascii="Times New Roman" w:hAnsi="Times New Roman" w:eastAsia="宋体" w:cs="Times New Roman"/>
                <w:color w:val="000000"/>
                <w:sz w:val="18"/>
                <w:szCs w:val="18"/>
              </w:rPr>
            </w:pPr>
            <w:r>
              <w:rPr>
                <w:rFonts w:hint="eastAsia" w:ascii="Times New Roman" w:hAnsi="Times New Roman" w:eastAsia="方正仿宋_GB2312" w:cs="Times New Roman"/>
                <w:color w:val="000000"/>
                <w:sz w:val="18"/>
                <w:szCs w:val="18"/>
              </w:rPr>
              <w:t>合计</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828" w:type="pct"/>
            <w:gridSpan w:val="3"/>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lang w:bidi="ar"/>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本年度国有资本经营预算财政拨款收入、支出及结转和结余情况。</w:t>
            </w:r>
          </w:p>
          <w:p>
            <w:pPr>
              <w:widowControl/>
              <w:jc w:val="left"/>
              <w:textAlignment w:val="center"/>
              <w:rPr>
                <w:rFonts w:hint="eastAsia" w:ascii="方正仿宋_GB2312" w:hAnsi="方正仿宋_GB2312" w:eastAsia="方正仿宋_GB2312" w:cs="方正仿宋_GB2312"/>
                <w:color w:val="000000"/>
                <w:sz w:val="18"/>
                <w:szCs w:val="18"/>
                <w:lang w:val="en-US" w:eastAsia="zh-CN" w:bidi="ar"/>
              </w:rPr>
            </w:pPr>
            <w:r>
              <w:rPr>
                <w:rFonts w:hint="eastAsia" w:ascii="方正仿宋_GB2312" w:hAnsi="方正仿宋_GB2312" w:eastAsia="方正仿宋_GB2312" w:cs="方正仿宋_GB2312"/>
                <w:color w:val="000000"/>
                <w:sz w:val="18"/>
                <w:szCs w:val="18"/>
                <w:lang w:val="en-US" w:eastAsia="zh-CN" w:bidi="ar"/>
              </w:rPr>
              <w:t xml:space="preserve">    本单位本年度无</w:t>
            </w:r>
            <w:r>
              <w:rPr>
                <w:rFonts w:hint="eastAsia" w:ascii="方正仿宋_GB2312" w:hAnsi="方正仿宋_GB2312" w:eastAsia="方正仿宋_GB2312" w:cs="方正仿宋_GB2312"/>
                <w:color w:val="000000"/>
                <w:sz w:val="18"/>
                <w:szCs w:val="18"/>
                <w:lang w:bidi="ar"/>
              </w:rPr>
              <w:t>国有资本经营预算财政拨款收入、支出及结转和结余情况</w:t>
            </w:r>
            <w:r>
              <w:rPr>
                <w:rFonts w:hint="eastAsia" w:ascii="方正仿宋_GB2312" w:hAnsi="方正仿宋_GB2312" w:eastAsia="方正仿宋_GB2312" w:cs="方正仿宋_GB2312"/>
                <w:color w:val="000000"/>
                <w:sz w:val="18"/>
                <w:szCs w:val="18"/>
                <w:lang w:eastAsia="zh-CN" w:bidi="ar"/>
              </w:rPr>
              <w:t>，按要求空表列示。</w:t>
            </w:r>
          </w:p>
        </w:tc>
      </w:tr>
    </w:tbl>
    <w:p>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1586" w:tblpY="39"/>
        <w:tblOverlap w:val="never"/>
        <w:tblW w:w="4998" w:type="pct"/>
        <w:tblInd w:w="0" w:type="dxa"/>
        <w:tblLayout w:type="fixed"/>
        <w:tblCellMar>
          <w:top w:w="0" w:type="dxa"/>
          <w:left w:w="108" w:type="dxa"/>
          <w:bottom w:w="0" w:type="dxa"/>
          <w:right w:w="108" w:type="dxa"/>
        </w:tblCellMar>
      </w:tblPr>
      <w:tblGrid>
        <w:gridCol w:w="1150"/>
        <w:gridCol w:w="1150"/>
        <w:gridCol w:w="1150"/>
        <w:gridCol w:w="1152"/>
        <w:gridCol w:w="945"/>
        <w:gridCol w:w="210"/>
        <w:gridCol w:w="1155"/>
        <w:gridCol w:w="1152"/>
        <w:gridCol w:w="1152"/>
        <w:gridCol w:w="101"/>
        <w:gridCol w:w="1049"/>
        <w:gridCol w:w="1203"/>
        <w:gridCol w:w="1206"/>
        <w:gridCol w:w="1211"/>
      </w:tblGrid>
      <w:tr>
        <w:tblPrEx>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tblPrEx>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09</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260" w:hRule="atLeast"/>
        </w:trPr>
        <w:tc>
          <w:tcPr>
            <w:tcW w:w="1983" w:type="pct"/>
            <w:gridSpan w:val="5"/>
            <w:tcBorders>
              <w:top w:val="nil"/>
              <w:left w:val="nil"/>
              <w:bottom w:val="single" w:color="auto" w:sz="4" w:space="0"/>
              <w:right w:val="nil"/>
            </w:tcBorders>
            <w:noWrap/>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编制单位：石家庄市对外交流合作中心</w:t>
            </w:r>
          </w:p>
        </w:tc>
        <w:tc>
          <w:tcPr>
            <w:tcW w:w="1348" w:type="pct"/>
            <w:gridSpan w:val="5"/>
            <w:tcBorders>
              <w:top w:val="nil"/>
              <w:left w:val="nil"/>
              <w:bottom w:val="single" w:color="auto" w:sz="4" w:space="0"/>
              <w:right w:val="nil"/>
            </w:tcBorders>
            <w:noWrap/>
            <w:vAlign w:val="bottom"/>
          </w:tcPr>
          <w:p>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1667" w:type="pct"/>
            <w:gridSpan w:val="4"/>
            <w:tcBorders>
              <w:top w:val="nil"/>
              <w:left w:val="nil"/>
              <w:bottom w:val="single" w:color="auto" w:sz="4" w:space="0"/>
              <w:right w:val="nil"/>
            </w:tcBorders>
            <w:noWrap/>
            <w:vAlign w:val="bottom"/>
          </w:tcPr>
          <w:p>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rPr>
          <w:trHeight w:val="431" w:hRule="atLeast"/>
        </w:trPr>
        <w:tc>
          <w:tcPr>
            <w:tcW w:w="2471" w:type="pct"/>
            <w:gridSpan w:val="7"/>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预算数</w:t>
            </w:r>
          </w:p>
        </w:tc>
        <w:tc>
          <w:tcPr>
            <w:tcW w:w="2528" w:type="pct"/>
            <w:gridSpan w:val="7"/>
            <w:tcBorders>
              <w:top w:val="single" w:color="auto" w:sz="4" w:space="0"/>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tblPrEx>
          <w:tblCellMar>
            <w:top w:w="0" w:type="dxa"/>
            <w:left w:w="108" w:type="dxa"/>
            <w:bottom w:w="0" w:type="dxa"/>
            <w:right w:w="108" w:type="dxa"/>
          </w:tblCellMar>
        </w:tblPrEx>
        <w:trPr>
          <w:trHeight w:val="431" w:hRule="atLeast"/>
        </w:trPr>
        <w:tc>
          <w:tcPr>
            <w:tcW w:w="411" w:type="pct"/>
            <w:vMerge w:val="restart"/>
            <w:tcBorders>
              <w:top w:val="nil"/>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411" w:type="pct"/>
            <w:vMerge w:val="restart"/>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1236" w:type="pct"/>
            <w:gridSpan w:val="4"/>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412" w:type="pct"/>
            <w:vMerge w:val="restart"/>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412" w:type="pct"/>
            <w:vMerge w:val="restart"/>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412" w:type="pct"/>
            <w:vMerge w:val="restart"/>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1272" w:type="pct"/>
            <w:gridSpan w:val="4"/>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431" w:type="pct"/>
            <w:vMerge w:val="restart"/>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r>
      <w:tr>
        <w:tblPrEx>
          <w:tblCellMar>
            <w:top w:w="0" w:type="dxa"/>
            <w:left w:w="108" w:type="dxa"/>
            <w:bottom w:w="0" w:type="dxa"/>
            <w:right w:w="108" w:type="dxa"/>
          </w:tblCellMar>
        </w:tblPrEx>
        <w:trPr>
          <w:trHeight w:val="431" w:hRule="atLeast"/>
        </w:trPr>
        <w:tc>
          <w:tcPr>
            <w:tcW w:w="411"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color w:val="000000"/>
                <w:sz w:val="18"/>
                <w:szCs w:val="18"/>
              </w:rPr>
            </w:pPr>
          </w:p>
        </w:tc>
        <w:tc>
          <w:tcPr>
            <w:tcW w:w="4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color w:val="000000"/>
                <w:sz w:val="18"/>
                <w:szCs w:val="18"/>
              </w:rPr>
            </w:pPr>
          </w:p>
        </w:tc>
        <w:tc>
          <w:tcPr>
            <w:tcW w:w="411" w:type="pct"/>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412" w:type="pct"/>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412" w:type="pct"/>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412"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color w:val="000000"/>
                <w:sz w:val="18"/>
                <w:szCs w:val="18"/>
              </w:rPr>
            </w:pPr>
          </w:p>
        </w:tc>
        <w:tc>
          <w:tcPr>
            <w:tcW w:w="412"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color w:val="000000"/>
                <w:sz w:val="18"/>
                <w:szCs w:val="18"/>
              </w:rPr>
            </w:pPr>
          </w:p>
        </w:tc>
        <w:tc>
          <w:tcPr>
            <w:tcW w:w="412"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color w:val="000000"/>
                <w:sz w:val="18"/>
                <w:szCs w:val="18"/>
              </w:rPr>
            </w:pPr>
          </w:p>
        </w:tc>
        <w:tc>
          <w:tcPr>
            <w:tcW w:w="411" w:type="pct"/>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430" w:type="pct"/>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431" w:type="pct"/>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43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431" w:hRule="atLeast"/>
        </w:trPr>
        <w:tc>
          <w:tcPr>
            <w:tcW w:w="411"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411"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411"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41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412"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41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6</w:t>
            </w:r>
          </w:p>
        </w:tc>
        <w:tc>
          <w:tcPr>
            <w:tcW w:w="41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7</w:t>
            </w:r>
          </w:p>
        </w:tc>
        <w:tc>
          <w:tcPr>
            <w:tcW w:w="41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8</w:t>
            </w:r>
          </w:p>
        </w:tc>
        <w:tc>
          <w:tcPr>
            <w:tcW w:w="41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9</w:t>
            </w:r>
          </w:p>
        </w:tc>
        <w:tc>
          <w:tcPr>
            <w:tcW w:w="430"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10</w:t>
            </w:r>
          </w:p>
        </w:tc>
        <w:tc>
          <w:tcPr>
            <w:tcW w:w="431"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11</w:t>
            </w:r>
          </w:p>
        </w:tc>
        <w:tc>
          <w:tcPr>
            <w:tcW w:w="431"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12</w:t>
            </w:r>
          </w:p>
        </w:tc>
      </w:tr>
      <w:tr>
        <w:trPr>
          <w:trHeight w:val="431" w:hRule="atLeast"/>
        </w:trPr>
        <w:tc>
          <w:tcPr>
            <w:tcW w:w="411" w:type="pct"/>
            <w:tcBorders>
              <w:top w:val="nil"/>
              <w:left w:val="single" w:color="000000" w:sz="4" w:space="0"/>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11"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11"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12"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1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12"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12"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12"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11"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30"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31"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31"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r>
      <w:tr>
        <w:tblPrEx>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lang w:bidi="ar"/>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本年度财政拨款“三公”经费支出预决算情况。其中：预算数为“三公”经费全年预算数，反映按规定程序调整后的预算数；决算数是包括当年财政拨款和以前年度结转资金安排的实际支出。</w:t>
            </w:r>
          </w:p>
          <w:p>
            <w:pPr>
              <w:widowControl/>
              <w:jc w:val="left"/>
              <w:textAlignment w:val="center"/>
              <w:rPr>
                <w:rFonts w:hint="default" w:ascii="方正仿宋_GB2312" w:hAnsi="方正仿宋_GB2312" w:eastAsia="方正仿宋_GB2312" w:cs="方正仿宋_GB2312"/>
                <w:color w:val="000000"/>
                <w:sz w:val="18"/>
                <w:szCs w:val="18"/>
                <w:lang w:val="en-US" w:eastAsia="zh-CN" w:bidi="ar"/>
              </w:rPr>
            </w:pPr>
            <w:r>
              <w:rPr>
                <w:rFonts w:hint="eastAsia" w:ascii="方正仿宋_GB2312" w:hAnsi="方正仿宋_GB2312" w:eastAsia="方正仿宋_GB2312" w:cs="方正仿宋_GB2312"/>
                <w:color w:val="000000"/>
                <w:sz w:val="18"/>
                <w:szCs w:val="18"/>
                <w:lang w:val="en-US" w:eastAsia="zh-CN" w:bidi="ar"/>
              </w:rPr>
              <w:t xml:space="preserve">   本单位本年度无财政拨款“三公”经费支出预决算情况，按要求空表列示。</w:t>
            </w:r>
          </w:p>
        </w:tc>
      </w:tr>
    </w:tbl>
    <w:p>
      <w:pPr>
        <w:rPr>
          <w:rFonts w:hint="eastAsia" w:ascii="仿宋_GB2312" w:hAnsi="宋体" w:eastAsia="仿宋_GB2312"/>
          <w:b/>
          <w:sz w:val="32"/>
          <w:szCs w:val="32"/>
        </w:rPr>
      </w:pPr>
      <w:r>
        <w:rPr>
          <w:rFonts w:hint="eastAsia" w:ascii="仿宋_GB2312" w:hAnsi="宋体" w:eastAsia="仿宋_GB2312"/>
          <w:b/>
          <w:sz w:val="32"/>
          <w:szCs w:val="32"/>
        </w:rPr>
        <w:br w:type="page"/>
      </w:r>
    </w:p>
    <w:p>
      <w:pPr>
        <w:rPr>
          <w:rFonts w:hint="eastAsia" w:ascii="仿宋_GB2312" w:hAnsi="宋体" w:eastAsia="仿宋_GB2312"/>
          <w:b/>
          <w:sz w:val="32"/>
          <w:szCs w:val="32"/>
        </w:rPr>
        <w:sectPr>
          <w:pgSz w:w="16838" w:h="11906" w:orient="landscape"/>
          <w:pgMar w:top="2098" w:right="1531" w:bottom="1984" w:left="1531" w:header="851" w:footer="992" w:gutter="0"/>
          <w:cols w:space="720" w:num="1"/>
          <w:docGrid w:type="lines" w:linePitch="312" w:charSpace="0"/>
        </w:sectPr>
      </w:pPr>
    </w:p>
    <w:p>
      <w:pPr>
        <w:pStyle w:val="10"/>
        <w:widowControl/>
        <w:spacing w:beforeAutospacing="0" w:afterAutospacing="0"/>
        <w:jc w:val="both"/>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第三部分</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hint="eastAsia" w:ascii="黑体" w:hAnsi="宋体" w:eastAsia="黑体" w:cs="黑体"/>
          <w:color w:val="000000"/>
          <w:sz w:val="72"/>
          <w:szCs w:val="72"/>
          <w:shd w:val="clear" w:color="auto" w:fill="FFFFFF"/>
        </w:rPr>
      </w:pPr>
      <w:r>
        <w:rPr>
          <w:rFonts w:hint="eastAsia" w:ascii="黑体" w:hAnsi="宋体" w:eastAsia="黑体" w:cs="黑体"/>
          <w:color w:val="000000"/>
          <w:sz w:val="72"/>
          <w:szCs w:val="72"/>
          <w:shd w:val="clear" w:color="auto" w:fill="FFFFFF"/>
        </w:rPr>
        <w:t>2023年度</w:t>
      </w:r>
      <w:r>
        <w:rPr>
          <w:rFonts w:hint="eastAsia" w:ascii="黑体" w:hAnsi="宋体" w:eastAsia="黑体" w:cs="黑体"/>
          <w:color w:val="000000"/>
          <w:sz w:val="72"/>
          <w:szCs w:val="72"/>
          <w:shd w:val="clear" w:color="auto" w:fill="FFFFFF"/>
          <w:lang w:eastAsia="zh-CN"/>
        </w:rPr>
        <w:t>单位</w:t>
      </w:r>
      <w:r>
        <w:rPr>
          <w:rFonts w:hint="eastAsia" w:ascii="黑体" w:hAnsi="宋体" w:eastAsia="黑体" w:cs="黑体"/>
          <w:color w:val="000000"/>
          <w:sz w:val="72"/>
          <w:szCs w:val="72"/>
          <w:shd w:val="clear" w:color="auto" w:fill="FFFFFF"/>
        </w:rPr>
        <w:t>决算情况</w:t>
      </w:r>
    </w:p>
    <w:p>
      <w:pPr>
        <w:pStyle w:val="10"/>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说明</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t> </w:t>
      </w:r>
    </w:p>
    <w:p>
      <w:pP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br w:type="page"/>
      </w:r>
    </w:p>
    <w:p>
      <w:pPr>
        <w:pStyle w:val="10"/>
        <w:widowControl/>
        <w:spacing w:beforeAutospacing="0" w:afterAutospacing="0"/>
        <w:jc w:val="center"/>
        <w:rPr>
          <w:rFonts w:ascii="Arial" w:hAnsi="Arial" w:eastAsia="Arial" w:cs="Arial"/>
          <w:color w:val="000000"/>
          <w:sz w:val="18"/>
          <w:szCs w:val="18"/>
          <w:shd w:val="clear" w:color="auto" w:fill="FFFFFF"/>
        </w:rPr>
      </w:pP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both"/>
        <w:outlineLvl w:val="1"/>
        <w:rPr>
          <w:rFonts w:ascii="黑体" w:hAnsi="Calibri" w:eastAsia="黑体"/>
          <w:kern w:val="2"/>
          <w:sz w:val="32"/>
          <w:szCs w:val="32"/>
        </w:rPr>
      </w:pPr>
      <w:r>
        <w:rPr>
          <w:rFonts w:hint="eastAsia" w:ascii="黑体" w:hAnsi="Calibri" w:eastAsia="黑体"/>
          <w:kern w:val="2"/>
          <w:sz w:val="32"/>
          <w:szCs w:val="32"/>
        </w:rPr>
        <w:t>一、收入支出决算总体情况说明</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本单位2023</w:t>
      </w:r>
      <w:r>
        <w:rPr>
          <w:rFonts w:ascii="Times New Roman" w:hAnsi="Times New Roman" w:eastAsia="仿宋_GB2312" w:cs="Times New Roman"/>
          <w:kern w:val="2"/>
          <w:sz w:val="32"/>
          <w:szCs w:val="32"/>
          <w:lang w:val="zh-CN"/>
        </w:rPr>
        <w:t>年度收</w:t>
      </w:r>
      <w:r>
        <w:rPr>
          <w:rFonts w:hint="eastAsia" w:ascii="Times New Roman" w:hAnsi="Times New Roman" w:eastAsia="仿宋_GB2312" w:cs="Times New Roman"/>
          <w:kern w:val="2"/>
          <w:sz w:val="32"/>
          <w:szCs w:val="32"/>
          <w:lang w:val="zh-CN"/>
        </w:rPr>
        <w:t>、</w:t>
      </w:r>
      <w:r>
        <w:rPr>
          <w:rFonts w:hint="eastAsia" w:ascii="仿宋" w:hAnsi="仿宋" w:eastAsia="仿宋"/>
          <w:bCs/>
          <w:sz w:val="32"/>
          <w:szCs w:val="32"/>
          <w:rtl w:val="0"/>
        </w:rPr>
        <w:t>支总计（含结转和结余）</w:t>
      </w:r>
      <w:r>
        <w:rPr>
          <w:rFonts w:hint="eastAsia" w:ascii="Times New Roman" w:hAnsi="Times New Roman" w:eastAsia="仿宋_GB2312" w:cs="Times New Roman"/>
          <w:kern w:val="2"/>
          <w:sz w:val="32"/>
          <w:szCs w:val="32"/>
          <w:lang w:val="en-US" w:eastAsia="zh-CN"/>
        </w:rPr>
        <w:t>191.95</w:t>
      </w:r>
      <w:r>
        <w:rPr>
          <w:rFonts w:ascii="Times New Roman" w:hAnsi="Times New Roman" w:eastAsia="仿宋_GB2312" w:cs="Times New Roman"/>
          <w:kern w:val="2"/>
          <w:sz w:val="32"/>
          <w:szCs w:val="32"/>
        </w:rPr>
        <w:t>万元，</w:t>
      </w:r>
      <w:r>
        <w:rPr>
          <w:rFonts w:hint="eastAsia" w:ascii="Times New Roman" w:hAnsi="Times New Roman" w:eastAsia="仿宋_GB2312" w:cs="Times New Roman"/>
          <w:kern w:val="2"/>
          <w:sz w:val="32"/>
          <w:szCs w:val="32"/>
          <w:lang w:eastAsia="zh-CN"/>
        </w:rPr>
        <w:t>与</w:t>
      </w:r>
      <w:r>
        <w:rPr>
          <w:rFonts w:hint="eastAsia" w:ascii="Times New Roman" w:hAnsi="Times New Roman" w:eastAsia="仿宋_GB2312" w:cs="Times New Roman"/>
          <w:kern w:val="2"/>
          <w:sz w:val="32"/>
          <w:szCs w:val="32"/>
          <w:lang w:val="en-US" w:eastAsia="zh-CN"/>
        </w:rPr>
        <w:t>2022年度决算相比，收支各减少</w:t>
      </w:r>
      <w:r>
        <w:rPr>
          <w:rFonts w:hint="eastAsia" w:ascii="Times New Roman" w:hAnsi="Times New Roman" w:eastAsia="仿宋_GB2312" w:cs="Times New Roman"/>
          <w:sz w:val="30"/>
          <w:szCs w:val="30"/>
          <w:lang w:val="en-US" w:eastAsia="zh-CN"/>
        </w:rPr>
        <w:t>46.11</w:t>
      </w:r>
      <w:r>
        <w:rPr>
          <w:rFonts w:hint="eastAsia" w:ascii="Times New Roman" w:hAnsi="Times New Roman" w:eastAsia="仿宋_GB2312" w:cs="Times New Roman"/>
          <w:sz w:val="30"/>
          <w:szCs w:val="30"/>
          <w:lang w:val="zh-CN"/>
        </w:rPr>
        <w:t>万元，下降</w:t>
      </w:r>
      <w:r>
        <w:rPr>
          <w:rFonts w:hint="eastAsia" w:ascii="Times New Roman" w:hAnsi="Times New Roman" w:eastAsia="仿宋_GB2312" w:cs="Times New Roman"/>
          <w:sz w:val="30"/>
          <w:szCs w:val="30"/>
          <w:lang w:val="en-US" w:eastAsia="zh-CN"/>
        </w:rPr>
        <w:t>19.37%,</w:t>
      </w:r>
      <w:r>
        <w:rPr>
          <w:rFonts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上年度有结转经费支出</w:t>
      </w:r>
      <w:r>
        <w:rPr>
          <w:rFonts w:ascii="Times New Roman" w:hAnsi="Times New Roman" w:eastAsia="仿宋_GB2312" w:cs="Times New Roman"/>
          <w:kern w:val="2"/>
          <w:sz w:val="32"/>
          <w:szCs w:val="32"/>
        </w:rPr>
        <w:t>。</w:t>
      </w:r>
    </w:p>
    <w:p>
      <w:pPr>
        <w:pStyle w:val="10"/>
        <w:widowControl/>
        <w:spacing w:beforeAutospacing="0" w:afterAutospacing="0"/>
        <w:jc w:val="both"/>
        <w:rPr>
          <w:rFonts w:ascii="Times New Roman" w:hAnsi="Times New Roman" w:eastAsia="宋体"/>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bookmarkStart w:id="0" w:name="_GoBack"/>
      <w:bookmarkEnd w:id="0"/>
    </w:p>
    <w:p>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二、收入决算情况说明</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本单位2023</w:t>
      </w:r>
      <w:r>
        <w:rPr>
          <w:rFonts w:ascii="Times New Roman" w:hAnsi="Times New Roman" w:eastAsia="仿宋_GB2312" w:cs="Times New Roman"/>
          <w:kern w:val="2"/>
          <w:sz w:val="32"/>
          <w:szCs w:val="32"/>
          <w:lang w:val="zh-CN"/>
        </w:rPr>
        <w:t>年度本年收入合计</w:t>
      </w:r>
      <w:r>
        <w:rPr>
          <w:rFonts w:ascii="Times New Roman" w:hAnsi="Times New Roman" w:eastAsia="仿宋_GB2312" w:cs="Times New Roman"/>
          <w:sz w:val="30"/>
          <w:szCs w:val="30"/>
        </w:rPr>
        <w:t>191.95</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其中</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财政拨款收入</w:t>
      </w:r>
      <w:r>
        <w:rPr>
          <w:rFonts w:ascii="Times New Roman" w:hAnsi="Times New Roman" w:eastAsia="仿宋_GB2312" w:cs="Times New Roman"/>
          <w:kern w:val="2"/>
          <w:sz w:val="32"/>
          <w:szCs w:val="32"/>
        </w:rPr>
        <w:t>191.95</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100%；</w:t>
      </w:r>
      <w:r>
        <w:rPr>
          <w:rFonts w:ascii="Times New Roman" w:hAnsi="Times New Roman" w:eastAsia="仿宋_GB2312" w:cs="Times New Roman"/>
          <w:kern w:val="2"/>
          <w:sz w:val="32"/>
          <w:szCs w:val="32"/>
          <w:lang w:val="zh-CN"/>
        </w:rPr>
        <w:t>上级补助收入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事业收入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经营收入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附属单位上缴收入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其他收入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hint="eastAsia" w:ascii="Times New Roman" w:hAnsi="Times New Roman" w:eastAsia="仿宋_GB2312" w:cs="Times New Roman"/>
          <w:kern w:val="2"/>
          <w:sz w:val="32"/>
          <w:szCs w:val="32"/>
          <w:lang w:val="zh-CN"/>
        </w:rPr>
        <w:t>。</w:t>
      </w:r>
    </w:p>
    <w:p>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仿宋_GB2312"/>
          <w:kern w:val="2"/>
          <w:sz w:val="32"/>
          <w:szCs w:val="32"/>
          <w:highlight w:val="yellow"/>
          <w:lang w:val="zh-CN"/>
        </w:rPr>
        <w:drawing>
          <wp:anchor distT="0" distB="0" distL="114300" distR="114300" simplePos="0" relativeHeight="251667456" behindDoc="0" locked="0" layoutInCell="1" allowOverlap="1">
            <wp:simplePos x="0" y="0"/>
            <wp:positionH relativeFrom="column">
              <wp:posOffset>92075</wp:posOffset>
            </wp:positionH>
            <wp:positionV relativeFrom="paragraph">
              <wp:posOffset>106045</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Pr>
          <w:rFonts w:ascii="Times New Roman" w:hAnsi="Times New Roman" w:eastAsia="黑体"/>
          <w:kern w:val="2"/>
          <w:sz w:val="32"/>
          <w:szCs w:val="32"/>
        </w:rPr>
        <w:t>三、支出决算情况说明</w:t>
      </w:r>
    </w:p>
    <w:p>
      <w:pPr>
        <w:autoSpaceDE w:val="0"/>
        <w:autoSpaceDN w:val="0"/>
        <w:adjustRightInd w:val="0"/>
        <w:spacing w:line="580" w:lineRule="exact"/>
        <w:ind w:firstLine="600"/>
        <w:jc w:val="left"/>
        <w:rPr>
          <w:rFonts w:ascii="Times New Roman" w:hAnsi="Times New Roman" w:eastAsia="仿宋_GB2312" w:cs="Times New Roman"/>
          <w:sz w:val="32"/>
          <w:szCs w:val="32"/>
          <w:highlight w:val="yellow"/>
        </w:rPr>
      </w:pPr>
      <w:r>
        <w:rPr>
          <w:rFonts w:ascii="Times New Roman" w:hAnsi="Times New Roman" w:eastAsia="仿宋_GB2312" w:cs="Times New Roman"/>
          <w:kern w:val="2"/>
          <w:sz w:val="32"/>
          <w:szCs w:val="32"/>
          <w:lang w:val="zh-CN"/>
        </w:rPr>
        <w:t>本单位2023年度本年支出合计191.95万元，其中：基本支出191.95万元，占100%；项目支出0万元，占0%；上缴上级支出0万元，占0%；经营支出0万元，占0%</w:t>
      </w:r>
      <w:r>
        <w:rPr>
          <w:rFonts w:hint="eastAsia"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rPr>
        <w:t>对附属单位补助支出0万元，占0%</w:t>
      </w:r>
      <w:r>
        <w:rPr>
          <w:rFonts w:hint="eastAsia" w:ascii="Times New Roman" w:hAnsi="Times New Roman" w:eastAsia="仿宋_GB2312" w:cs="Times New Roman"/>
          <w:kern w:val="2"/>
          <w:sz w:val="32"/>
          <w:szCs w:val="32"/>
          <w:lang w:val="zh-CN"/>
        </w:rPr>
        <w:t>。</w:t>
      </w:r>
    </w:p>
    <w:p>
      <w:pPr>
        <w:autoSpaceDE w:val="0"/>
        <w:autoSpaceDN w:val="0"/>
        <w:adjustRightInd w:val="0"/>
        <w:jc w:val="left"/>
        <w:rPr>
          <w:rFonts w:ascii="Times New Roman" w:hAnsi="Times New Roman" w:eastAsia="仿宋_GB2312" w:cs="Times New Roman"/>
          <w:sz w:val="32"/>
          <w:szCs w:val="32"/>
          <w:highlight w:val="yellow"/>
        </w:rPr>
      </w:pPr>
      <w:r>
        <w:rPr>
          <w:rFonts w:ascii="Times New Roman" w:hAnsi="Times New Roman" w:eastAsia="仿宋_GB2312" w:cs="Times New Roman"/>
          <w:sz w:val="32"/>
          <w:szCs w:val="32"/>
          <w:highlight w:val="yellow"/>
        </w:rPr>
        <w:drawing>
          <wp:inline distT="0" distB="0" distL="114300" distR="114300">
            <wp:extent cx="5256530" cy="2988310"/>
            <wp:effectExtent l="5080" t="4445" r="15240" b="1714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pStyle w:val="10"/>
        <w:widowControl/>
        <w:spacing w:beforeAutospacing="0" w:afterAutospacing="0"/>
        <w:jc w:val="both"/>
        <w:outlineLvl w:val="1"/>
        <w:rPr>
          <w:rFonts w:ascii="Times New Roman" w:hAnsi="Times New Roman" w:eastAsia="Arial"/>
        </w:rPr>
      </w:pPr>
      <w:r>
        <w:rPr>
          <w:rFonts w:ascii="Times New Roman" w:hAnsi="Times New Roman" w:eastAsia="黑体"/>
          <w:kern w:val="2"/>
          <w:sz w:val="32"/>
          <w:szCs w:val="32"/>
        </w:rPr>
        <w:t>四、财政拨款收入支出决算总体情况说明</w:t>
      </w:r>
    </w:p>
    <w:p>
      <w:pPr>
        <w:pStyle w:val="10"/>
        <w:widowControl/>
        <w:spacing w:beforeAutospacing="0" w:afterAutospacing="0"/>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（一）财政拨款收支与2022年度决算对比情况</w:t>
      </w:r>
    </w:p>
    <w:p>
      <w:pPr>
        <w:pStyle w:val="10"/>
        <w:widowControl/>
        <w:spacing w:beforeAutospacing="0" w:afterAutospacing="0"/>
        <w:ind w:firstLine="640" w:firstLineChars="200"/>
        <w:rPr>
          <w:rFonts w:ascii="Times New Roman" w:hAnsi="Times New Roman" w:eastAsia="仿宋_GB2312"/>
          <w:sz w:val="30"/>
          <w:szCs w:val="30"/>
        </w:rPr>
      </w:pPr>
      <w:r>
        <w:rPr>
          <w:rFonts w:ascii="Times New Roman" w:hAnsi="Times New Roman" w:eastAsia="仿宋_GB2312"/>
          <w:kern w:val="2"/>
          <w:sz w:val="32"/>
          <w:szCs w:val="32"/>
        </w:rPr>
        <w:t>本单位2023</w:t>
      </w:r>
      <w:r>
        <w:rPr>
          <w:rFonts w:ascii="Times New Roman" w:hAnsi="Times New Roman" w:eastAsia="仿宋_GB2312"/>
          <w:kern w:val="2"/>
          <w:sz w:val="32"/>
          <w:szCs w:val="32"/>
          <w:lang w:val="zh-CN"/>
        </w:rPr>
        <w:t>年度财政拨款本年收入</w:t>
      </w:r>
      <w:r>
        <w:rPr>
          <w:rFonts w:ascii="Times New Roman" w:hAnsi="Times New Roman" w:eastAsia="仿宋_GB2312"/>
          <w:kern w:val="2"/>
          <w:sz w:val="32"/>
          <w:szCs w:val="32"/>
        </w:rPr>
        <w:t>191.95万</w:t>
      </w:r>
      <w:r>
        <w:rPr>
          <w:rFonts w:ascii="Times New Roman" w:hAnsi="Times New Roman" w:eastAsia="仿宋_GB2312"/>
          <w:kern w:val="2"/>
          <w:sz w:val="32"/>
          <w:szCs w:val="32"/>
          <w:lang w:val="zh-CN"/>
        </w:rPr>
        <w:t>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比上年</w:t>
      </w:r>
      <w:r>
        <w:rPr>
          <w:rFonts w:hint="eastAsia" w:ascii="Times New Roman" w:hAnsi="Times New Roman" w:eastAsia="仿宋_GB2312"/>
          <w:sz w:val="30"/>
          <w:szCs w:val="30"/>
        </w:rPr>
        <w:t>减少1.62万元</w:t>
      </w:r>
      <w:r>
        <w:rPr>
          <w:rFonts w:ascii="Times New Roman" w:hAnsi="Times New Roman" w:eastAsia="仿宋_GB2312"/>
          <w:kern w:val="2"/>
          <w:sz w:val="32"/>
          <w:szCs w:val="32"/>
        </w:rPr>
        <w:t>，</w:t>
      </w:r>
      <w:r>
        <w:rPr>
          <w:rFonts w:hint="eastAsia" w:ascii="Times New Roman" w:hAnsi="Times New Roman" w:eastAsia="仿宋_GB2312"/>
          <w:sz w:val="30"/>
          <w:szCs w:val="30"/>
        </w:rPr>
        <w:t>降低0.84%，</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eastAsia="zh-CN"/>
        </w:rPr>
        <w:t>人员变化</w:t>
      </w:r>
      <w:r>
        <w:rPr>
          <w:rFonts w:hint="eastAsia" w:ascii="Times New Roman" w:hAnsi="Times New Roman" w:eastAsia="仿宋_GB2312"/>
          <w:kern w:val="2"/>
          <w:sz w:val="32"/>
          <w:szCs w:val="32"/>
          <w:lang w:val="en-US" w:eastAsia="zh-CN"/>
        </w:rPr>
        <w:t xml:space="preserve"> ，1人退休</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本年支出</w:t>
      </w:r>
      <w:r>
        <w:rPr>
          <w:rFonts w:ascii="Times New Roman" w:hAnsi="Times New Roman" w:eastAsia="仿宋_GB2312"/>
          <w:kern w:val="2"/>
          <w:sz w:val="32"/>
          <w:szCs w:val="32"/>
        </w:rPr>
        <w:t xml:space="preserve"> 191.95</w:t>
      </w:r>
      <w:r>
        <w:rPr>
          <w:rFonts w:ascii="Times New Roman" w:hAnsi="Times New Roman" w:eastAsia="仿宋_GB2312"/>
          <w:kern w:val="2"/>
          <w:sz w:val="32"/>
          <w:szCs w:val="32"/>
          <w:lang w:val="zh-CN"/>
        </w:rPr>
        <w:t>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比上年</w:t>
      </w:r>
      <w:r>
        <w:rPr>
          <w:rFonts w:hint="eastAsia" w:ascii="Times New Roman" w:hAnsi="Times New Roman" w:eastAsia="仿宋_GB2312"/>
          <w:sz w:val="30"/>
          <w:szCs w:val="30"/>
        </w:rPr>
        <w:t>减少46.11万元</w:t>
      </w:r>
      <w:r>
        <w:rPr>
          <w:rFonts w:ascii="Times New Roman" w:hAnsi="Times New Roman" w:eastAsia="仿宋_GB2312"/>
          <w:kern w:val="2"/>
          <w:sz w:val="32"/>
          <w:szCs w:val="32"/>
        </w:rPr>
        <w:t>，</w:t>
      </w:r>
      <w:r>
        <w:rPr>
          <w:rFonts w:hint="eastAsia" w:ascii="Times New Roman" w:hAnsi="Times New Roman" w:eastAsia="仿宋_GB2312"/>
          <w:sz w:val="30"/>
          <w:szCs w:val="30"/>
        </w:rPr>
        <w:t>降低19.37%，</w:t>
      </w:r>
      <w:r>
        <w:rPr>
          <w:rFonts w:ascii="Times New Roman" w:hAnsi="Times New Roman" w:eastAsia="仿宋_GB2312"/>
          <w:kern w:val="2"/>
          <w:sz w:val="32"/>
          <w:szCs w:val="32"/>
          <w:lang w:val="zh-CN"/>
        </w:rPr>
        <w:t>主要是</w:t>
      </w:r>
      <w:r>
        <w:rPr>
          <w:rFonts w:hint="eastAsia" w:ascii="Times New Roman" w:hAnsi="Times New Roman" w:eastAsia="仿宋_GB2312" w:cs="Times New Roman"/>
          <w:kern w:val="2"/>
          <w:sz w:val="32"/>
          <w:szCs w:val="32"/>
          <w:lang w:eastAsia="zh-CN"/>
        </w:rPr>
        <w:t>上年度有结转费用支出</w:t>
      </w:r>
      <w:r>
        <w:rPr>
          <w:rFonts w:ascii="Times New Roman" w:hAnsi="Times New Roman" w:eastAsia="仿宋_GB2312"/>
          <w:kern w:val="2"/>
          <w:sz w:val="32"/>
          <w:szCs w:val="32"/>
          <w:lang w:val="zh-CN"/>
        </w:rPr>
        <w:t>。具体情况如下：</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1. 一般公共预算财政拨款本年收入191.95万元,比上年</w:t>
      </w:r>
      <w:r>
        <w:rPr>
          <w:rFonts w:hint="eastAsia" w:ascii="Times New Roman" w:hAnsi="Times New Roman" w:eastAsia="仿宋_GB2312" w:cs="Times New Roman"/>
          <w:sz w:val="30"/>
          <w:szCs w:val="30"/>
          <w:lang w:val="zh-CN"/>
        </w:rPr>
        <w:t>减少1.62万元，降低0.84%，</w:t>
      </w:r>
      <w:r>
        <w:rPr>
          <w:rFonts w:ascii="Times New Roman" w:hAnsi="Times New Roman" w:eastAsia="仿宋_GB2312" w:cs="Times New Roman"/>
          <w:kern w:val="2"/>
          <w:sz w:val="32"/>
          <w:szCs w:val="32"/>
          <w:lang w:val="zh-CN"/>
        </w:rPr>
        <w:t>主要是</w:t>
      </w:r>
      <w:r>
        <w:rPr>
          <w:rFonts w:hint="eastAsia" w:ascii="Times New Roman" w:hAnsi="Times New Roman" w:eastAsia="仿宋_GB2312"/>
          <w:kern w:val="2"/>
          <w:sz w:val="32"/>
          <w:szCs w:val="32"/>
          <w:lang w:eastAsia="zh-CN"/>
        </w:rPr>
        <w:t>人员变化</w:t>
      </w:r>
      <w:r>
        <w:rPr>
          <w:rFonts w:hint="eastAsia" w:ascii="Times New Roman" w:hAnsi="Times New Roman" w:eastAsia="仿宋_GB2312"/>
          <w:kern w:val="2"/>
          <w:sz w:val="32"/>
          <w:szCs w:val="32"/>
          <w:lang w:val="en-US" w:eastAsia="zh-CN"/>
        </w:rPr>
        <w:t xml:space="preserve"> ，1人退休</w:t>
      </w:r>
      <w:r>
        <w:rPr>
          <w:rFonts w:ascii="Times New Roman" w:hAnsi="Times New Roman" w:eastAsia="仿宋_GB2312" w:cs="Times New Roman"/>
          <w:kern w:val="2"/>
          <w:sz w:val="32"/>
          <w:szCs w:val="32"/>
          <w:lang w:val="zh-CN"/>
        </w:rPr>
        <w:t>；本年支出 191.95</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减少46.11万元</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lang w:val="zh-CN"/>
        </w:rPr>
        <w:t>降低19.37%，</w:t>
      </w:r>
      <w:r>
        <w:rPr>
          <w:rFonts w:ascii="Times New Roman" w:hAnsi="Times New Roman" w:eastAsia="仿宋_GB2312" w:cs="Times New Roman"/>
          <w:kern w:val="2"/>
          <w:sz w:val="32"/>
          <w:szCs w:val="32"/>
          <w:lang w:val="zh-CN"/>
        </w:rPr>
        <w:t>主要是</w:t>
      </w:r>
      <w:r>
        <w:rPr>
          <w:rFonts w:hint="eastAsia" w:ascii="Times New Roman" w:hAnsi="Times New Roman" w:eastAsia="仿宋_GB2312"/>
          <w:kern w:val="2"/>
          <w:sz w:val="32"/>
          <w:szCs w:val="32"/>
          <w:lang w:eastAsia="zh-CN"/>
        </w:rPr>
        <w:t>人员变化</w:t>
      </w:r>
      <w:r>
        <w:rPr>
          <w:rFonts w:hint="eastAsia" w:ascii="Times New Roman" w:hAnsi="Times New Roman" w:eastAsia="仿宋_GB2312"/>
          <w:kern w:val="2"/>
          <w:sz w:val="32"/>
          <w:szCs w:val="32"/>
          <w:lang w:val="en-US" w:eastAsia="zh-CN"/>
        </w:rPr>
        <w:t xml:space="preserve"> ，1人退休</w:t>
      </w:r>
      <w:r>
        <w:rPr>
          <w:rFonts w:hint="eastAsia" w:ascii="Times New Roman" w:hAnsi="Times New Roman" w:eastAsia="仿宋_GB2312" w:cs="Times New Roman"/>
          <w:kern w:val="2"/>
          <w:sz w:val="32"/>
          <w:szCs w:val="32"/>
          <w:lang w:eastAsia="zh-CN"/>
        </w:rPr>
        <w:t>。</w:t>
      </w:r>
    </w:p>
    <w:p>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kern w:val="2"/>
          <w:sz w:val="32"/>
          <w:szCs w:val="32"/>
          <w:lang w:val="zh-CN"/>
        </w:rPr>
        <w:t>2. 政府性基金预算财政拨款本年收入0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；本年支出0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持平，无增减变化</w:t>
      </w:r>
      <w:r>
        <w:rPr>
          <w:rFonts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 xml:space="preserve">3. </w:t>
      </w:r>
      <w:r>
        <w:rPr>
          <w:rFonts w:ascii="Times New Roman" w:hAnsi="Times New Roman" w:eastAsia="仿宋_GB2312" w:cs="Times New Roman"/>
          <w:kern w:val="2"/>
          <w:sz w:val="32"/>
          <w:szCs w:val="32"/>
          <w:lang w:val="zh-CN"/>
        </w:rPr>
        <w:t>国有资本经营预算财政拨款本年收入</w:t>
      </w:r>
      <w:r>
        <w:rPr>
          <w:rFonts w:ascii="Times New Roman" w:hAnsi="Times New Roman" w:eastAsia="仿宋_GB2312" w:cs="Times New Roman"/>
          <w:kern w:val="2"/>
          <w:sz w:val="32"/>
          <w:szCs w:val="32"/>
        </w:rPr>
        <w:t>0万</w:t>
      </w:r>
      <w:r>
        <w:rPr>
          <w:rFonts w:ascii="Times New Roman" w:hAnsi="Times New Roman" w:eastAsia="仿宋_GB2312" w:cs="Times New Roman"/>
          <w:kern w:val="2"/>
          <w:sz w:val="32"/>
          <w:szCs w:val="32"/>
          <w:lang w:val="zh-CN"/>
        </w:rPr>
        <w:t>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rPr>
        <w:t>持平</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本年支出</w:t>
      </w:r>
      <w:r>
        <w:rPr>
          <w:rFonts w:ascii="Times New Roman" w:hAnsi="Times New Roman" w:eastAsia="仿宋_GB2312" w:cs="Times New Roman"/>
          <w:kern w:val="2"/>
          <w:sz w:val="32"/>
          <w:szCs w:val="32"/>
        </w:rPr>
        <w:t>0万</w:t>
      </w:r>
      <w:r>
        <w:rPr>
          <w:rFonts w:ascii="Times New Roman" w:hAnsi="Times New Roman" w:eastAsia="仿宋_GB2312" w:cs="Times New Roman"/>
          <w:kern w:val="2"/>
          <w:sz w:val="32"/>
          <w:szCs w:val="32"/>
          <w:lang w:val="zh-CN"/>
        </w:rPr>
        <w:t>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rPr>
        <w:t>持平</w:t>
      </w:r>
      <w:r>
        <w:rPr>
          <w:rFonts w:hint="eastAsia" w:ascii="Times New Roman" w:hAnsi="Times New Roman" w:eastAsia="仿宋_GB2312" w:cs="Times New Roman"/>
          <w:sz w:val="30"/>
          <w:szCs w:val="30"/>
          <w:lang w:val="zh-CN"/>
        </w:rPr>
        <w:t>，无增减变化</w:t>
      </w:r>
      <w:r>
        <w:rPr>
          <w:rFonts w:hint="eastAsia" w:ascii="Times New Roman" w:hAnsi="Times New Roman" w:eastAsia="仿宋_GB2312" w:cs="Times New Roman"/>
          <w:kern w:val="2"/>
          <w:sz w:val="32"/>
          <w:szCs w:val="32"/>
          <w:lang w:val="zh-CN"/>
        </w:rPr>
        <w:t>。</w:t>
      </w:r>
    </w:p>
    <w:p>
      <w:pPr>
        <w:pStyle w:val="10"/>
        <w:widowControl/>
        <w:spacing w:beforeAutospacing="0" w:afterAutospacing="0"/>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rPr>
        <w:t>本单位2023</w:t>
      </w:r>
      <w:r>
        <w:rPr>
          <w:rFonts w:ascii="Times New Roman" w:hAnsi="Times New Roman" w:eastAsia="仿宋_GB2312" w:cs="Times New Roman"/>
          <w:kern w:val="2"/>
          <w:sz w:val="32"/>
          <w:szCs w:val="32"/>
          <w:lang w:val="zh-CN"/>
        </w:rPr>
        <w:t>年度财政拨款本年收入</w:t>
      </w:r>
      <w:r>
        <w:rPr>
          <w:rFonts w:ascii="Times New Roman" w:hAnsi="Times New Roman" w:eastAsia="仿宋_GB2312" w:cs="Times New Roman"/>
          <w:kern w:val="2"/>
          <w:sz w:val="32"/>
          <w:szCs w:val="32"/>
        </w:rPr>
        <w:t>191.95</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完成年初预算的</w:t>
      </w:r>
      <w:r>
        <w:rPr>
          <w:rFonts w:ascii="Times New Roman" w:hAnsi="Times New Roman" w:eastAsia="仿宋_GB2312" w:cs="Times New Roman"/>
          <w:kern w:val="2"/>
          <w:sz w:val="32"/>
          <w:szCs w:val="32"/>
        </w:rPr>
        <w:t>100%，</w:t>
      </w:r>
      <w:r>
        <w:rPr>
          <w:rFonts w:ascii="Times New Roman" w:hAnsi="Times New Roman" w:eastAsia="仿宋_GB2312" w:cs="Times New Roman"/>
          <w:kern w:val="2"/>
          <w:sz w:val="32"/>
          <w:szCs w:val="32"/>
          <w:lang w:val="zh-CN"/>
        </w:rPr>
        <w:t>比年初预算</w:t>
      </w:r>
      <w:r>
        <w:rPr>
          <w:rFonts w:hint="eastAsia" w:ascii="Times New Roman" w:hAnsi="Times New Roman" w:eastAsia="仿宋_GB2312" w:cs="Times New Roman"/>
          <w:sz w:val="30"/>
          <w:szCs w:val="30"/>
        </w:rPr>
        <w:t>增加0万元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决算数</w:t>
      </w:r>
      <w:r>
        <w:rPr>
          <w:rFonts w:hint="eastAsia" w:ascii="Times New Roman" w:hAnsi="Times New Roman" w:eastAsia="仿宋_GB2312" w:cs="Times New Roman"/>
          <w:kern w:val="2"/>
          <w:sz w:val="32"/>
          <w:szCs w:val="32"/>
          <w:lang w:val="zh-CN"/>
        </w:rPr>
        <w:t>与</w:t>
      </w:r>
      <w:r>
        <w:rPr>
          <w:rFonts w:ascii="Times New Roman" w:hAnsi="Times New Roman" w:eastAsia="仿宋_GB2312" w:cs="Times New Roman"/>
          <w:kern w:val="2"/>
          <w:sz w:val="32"/>
          <w:szCs w:val="32"/>
          <w:lang w:val="zh-CN"/>
        </w:rPr>
        <w:t>预算数</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本年支出</w:t>
      </w:r>
      <w:r>
        <w:rPr>
          <w:rFonts w:ascii="Times New Roman" w:hAnsi="Times New Roman" w:eastAsia="仿宋_GB2312" w:cs="Times New Roman"/>
          <w:kern w:val="2"/>
          <w:sz w:val="32"/>
          <w:szCs w:val="32"/>
        </w:rPr>
        <w:t>191.95</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完成年初预算的</w:t>
      </w:r>
      <w:r>
        <w:rPr>
          <w:rFonts w:ascii="Times New Roman" w:hAnsi="Times New Roman" w:eastAsia="仿宋_GB2312" w:cs="Times New Roman"/>
          <w:kern w:val="2"/>
          <w:sz w:val="32"/>
          <w:szCs w:val="32"/>
        </w:rPr>
        <w:t>100%，</w:t>
      </w:r>
      <w:r>
        <w:rPr>
          <w:rFonts w:ascii="Times New Roman" w:hAnsi="Times New Roman" w:eastAsia="仿宋_GB2312" w:cs="Times New Roman"/>
          <w:kern w:val="2"/>
          <w:sz w:val="32"/>
          <w:szCs w:val="32"/>
          <w:lang w:val="zh-CN"/>
        </w:rPr>
        <w:t>比年初预算</w:t>
      </w:r>
      <w:r>
        <w:rPr>
          <w:rFonts w:hint="eastAsia" w:ascii="Times New Roman" w:hAnsi="Times New Roman" w:eastAsia="仿宋_GB2312" w:cs="Times New Roman"/>
          <w:sz w:val="30"/>
          <w:szCs w:val="30"/>
        </w:rPr>
        <w:t>增加0万元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决算数</w:t>
      </w:r>
      <w:r>
        <w:rPr>
          <w:rFonts w:hint="eastAsia" w:ascii="Times New Roman" w:hAnsi="Times New Roman" w:eastAsia="仿宋_GB2312" w:cs="Times New Roman"/>
          <w:kern w:val="2"/>
          <w:sz w:val="32"/>
          <w:szCs w:val="32"/>
          <w:lang w:eastAsia="zh-CN"/>
        </w:rPr>
        <w:t>与</w:t>
      </w:r>
      <w:r>
        <w:rPr>
          <w:rFonts w:ascii="Times New Roman" w:hAnsi="Times New Roman" w:eastAsia="仿宋_GB2312" w:cs="Times New Roman"/>
          <w:kern w:val="2"/>
          <w:sz w:val="32"/>
          <w:szCs w:val="32"/>
          <w:lang w:val="zh-CN"/>
        </w:rPr>
        <w:t>预算数</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。具体情况如下：</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rPr>
        <w:t>1.</w:t>
      </w:r>
      <w:r>
        <w:rPr>
          <w:rFonts w:ascii="Times New Roman" w:hAnsi="Times New Roman" w:eastAsia="仿宋_GB2312" w:cs="Times New Roman"/>
          <w:kern w:val="2"/>
          <w:sz w:val="32"/>
          <w:szCs w:val="32"/>
          <w:lang w:val="zh-CN"/>
        </w:rPr>
        <w:t>一般公共预算财政拨款</w:t>
      </w:r>
      <w:r>
        <w:rPr>
          <w:rFonts w:ascii="Times New Roman" w:hAnsi="Times New Roman" w:eastAsia="仿宋_GB2312" w:cs="Times New Roman"/>
          <w:kern w:val="2"/>
          <w:sz w:val="32"/>
          <w:szCs w:val="32"/>
        </w:rPr>
        <w:t>本年</w:t>
      </w:r>
      <w:r>
        <w:rPr>
          <w:rFonts w:ascii="Times New Roman" w:hAnsi="Times New Roman" w:eastAsia="仿宋_GB2312" w:cs="Times New Roman"/>
          <w:kern w:val="2"/>
          <w:sz w:val="32"/>
          <w:szCs w:val="32"/>
          <w:lang w:val="zh-CN"/>
        </w:rPr>
        <w:t>收入191.95万元，完成年初预算的 100%，比年初预算</w:t>
      </w:r>
      <w:r>
        <w:rPr>
          <w:rFonts w:hint="eastAsia" w:ascii="Times New Roman" w:hAnsi="Times New Roman" w:eastAsia="仿宋_GB2312" w:cs="Times New Roman"/>
          <w:sz w:val="30"/>
          <w:szCs w:val="30"/>
          <w:lang w:val="zh-CN"/>
        </w:rPr>
        <w:t>增加0万元</w:t>
      </w:r>
      <w:r>
        <w:rPr>
          <w:rFonts w:ascii="Times New Roman" w:hAnsi="Times New Roman" w:eastAsia="仿宋_GB2312" w:cs="Times New Roman"/>
          <w:kern w:val="2"/>
          <w:sz w:val="32"/>
          <w:szCs w:val="32"/>
          <w:lang w:val="zh-CN"/>
        </w:rPr>
        <w:t>，主要原因是决算数</w:t>
      </w:r>
      <w:r>
        <w:rPr>
          <w:rFonts w:hint="eastAsia" w:ascii="Times New Roman" w:hAnsi="Times New Roman" w:eastAsia="仿宋_GB2312" w:cs="Times New Roman"/>
          <w:kern w:val="2"/>
          <w:sz w:val="32"/>
          <w:szCs w:val="32"/>
          <w:lang w:val="zh-CN"/>
        </w:rPr>
        <w:t>与</w:t>
      </w:r>
      <w:r>
        <w:rPr>
          <w:rFonts w:ascii="Times New Roman" w:hAnsi="Times New Roman" w:eastAsia="仿宋_GB2312" w:cs="Times New Roman"/>
          <w:kern w:val="2"/>
          <w:sz w:val="32"/>
          <w:szCs w:val="32"/>
          <w:lang w:val="zh-CN"/>
        </w:rPr>
        <w:t>预算数</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；本年支出191.95万元，完成年初预算的100%，比年初预算</w:t>
      </w:r>
      <w:r>
        <w:rPr>
          <w:rFonts w:hint="eastAsia" w:ascii="Times New Roman" w:hAnsi="Times New Roman" w:eastAsia="仿宋_GB2312" w:cs="Times New Roman"/>
          <w:sz w:val="30"/>
          <w:szCs w:val="30"/>
          <w:lang w:val="zh-CN"/>
        </w:rPr>
        <w:t>增加0万元</w:t>
      </w:r>
      <w:r>
        <w:rPr>
          <w:rFonts w:ascii="Times New Roman" w:hAnsi="Times New Roman" w:eastAsia="仿宋_GB2312" w:cs="Times New Roman"/>
          <w:kern w:val="2"/>
          <w:sz w:val="32"/>
          <w:szCs w:val="32"/>
          <w:lang w:val="zh-CN"/>
        </w:rPr>
        <w:t>，决算数</w:t>
      </w:r>
      <w:r>
        <w:rPr>
          <w:rFonts w:hint="eastAsia" w:ascii="Times New Roman" w:hAnsi="Times New Roman" w:eastAsia="仿宋_GB2312" w:cs="Times New Roman"/>
          <w:kern w:val="2"/>
          <w:sz w:val="32"/>
          <w:szCs w:val="32"/>
          <w:lang w:eastAsia="zh-CN"/>
        </w:rPr>
        <w:t>与</w:t>
      </w:r>
      <w:r>
        <w:rPr>
          <w:rFonts w:ascii="Times New Roman" w:hAnsi="Times New Roman" w:eastAsia="仿宋_GB2312" w:cs="Times New Roman"/>
          <w:kern w:val="2"/>
          <w:sz w:val="32"/>
          <w:szCs w:val="32"/>
          <w:lang w:val="zh-CN"/>
        </w:rPr>
        <w:t>预算数</w:t>
      </w:r>
      <w:r>
        <w:rPr>
          <w:rFonts w:hint="eastAsia" w:ascii="Times New Roman" w:hAnsi="Times New Roman" w:eastAsia="仿宋_GB2312" w:cs="Times New Roman"/>
          <w:kern w:val="2"/>
          <w:sz w:val="32"/>
          <w:szCs w:val="32"/>
          <w:lang w:val="zh-CN"/>
        </w:rPr>
        <w:t>持平</w:t>
      </w:r>
      <w:r>
        <w:rPr>
          <w:rFonts w:hint="eastAsia" w:ascii="Times New Roman" w:hAnsi="Times New Roman" w:eastAsia="仿宋_GB2312" w:cs="Times New Roman"/>
          <w:sz w:val="30"/>
          <w:szCs w:val="30"/>
          <w:lang w:val="zh-CN"/>
        </w:rPr>
        <w:t>，无增减变化</w:t>
      </w:r>
      <w:r>
        <w:rPr>
          <w:rFonts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2. 政府性基金预算财政拨款本年收入0万元，完成年初预算的0%，比年初预算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lang w:val="zh-CN"/>
        </w:rPr>
        <w:t>持平，无增减变化</w:t>
      </w:r>
      <w:r>
        <w:rPr>
          <w:rFonts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ascii="Times New Roman" w:hAnsi="Times New Roman" w:eastAsia="仿宋_GB2312" w:cs="Times New Roman"/>
          <w:color w:val="000000"/>
          <w:sz w:val="33"/>
          <w:szCs w:val="33"/>
          <w:shd w:val="clear" w:color="auto" w:fill="FFFFFF"/>
        </w:rPr>
      </w:pPr>
      <w:r>
        <w:rPr>
          <w:rFonts w:ascii="Times New Roman" w:hAnsi="Times New Roman" w:eastAsia="仿宋_GB2312" w:cs="Times New Roman"/>
          <w:kern w:val="2"/>
          <w:sz w:val="32"/>
          <w:szCs w:val="32"/>
          <w:lang w:val="zh-CN"/>
        </w:rPr>
        <w:t>3. 国有资本经营预算财政拨款本年收入0万元，完成年初预算的0%，</w:t>
      </w:r>
      <w:r>
        <w:rPr>
          <w:rFonts w:ascii="Times New Roman" w:hAnsi="Times New Roman" w:eastAsia="仿宋_GB2312" w:cs="Times New Roman"/>
          <w:sz w:val="30"/>
          <w:szCs w:val="30"/>
          <w:lang w:val="zh-CN"/>
        </w:rPr>
        <w:t>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lang w:val="zh-CN"/>
        </w:rPr>
        <w:t>持平，无增减变化</w:t>
      </w:r>
      <w:r>
        <w:rPr>
          <w:rFonts w:ascii="Times New Roman" w:hAnsi="Times New Roman" w:eastAsia="仿宋_GB2312" w:cs="Times New Roman"/>
          <w:kern w:val="2"/>
          <w:sz w:val="32"/>
          <w:szCs w:val="32"/>
          <w:lang w:val="zh-CN"/>
        </w:rPr>
        <w:t>。</w:t>
      </w:r>
    </w:p>
    <w:p>
      <w:pPr>
        <w:pStyle w:val="10"/>
        <w:widowControl/>
        <w:spacing w:beforeAutospacing="0" w:afterAutospacing="0"/>
        <w:rPr>
          <w:rFonts w:ascii="Times New Roman" w:hAnsi="Times New Roman" w:eastAsia="Arial"/>
        </w:rPr>
      </w:pPr>
    </w:p>
    <w:p>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pStyle w:val="10"/>
        <w:widowControl/>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（三）财政拨款支出决算结构情况</w:t>
      </w:r>
    </w:p>
    <w:p>
      <w:pPr>
        <w:adjustRightInd w:val="0"/>
        <w:snapToGrid w:val="0"/>
        <w:spacing w:line="580" w:lineRule="exact"/>
        <w:ind w:firstLine="640" w:firstLineChars="200"/>
        <w:jc w:val="left"/>
        <w:rPr>
          <w:rFonts w:ascii="Times New Roman" w:hAnsi="Times New Roman" w:eastAsia="仿宋_GB2312" w:cs="Times New Roman"/>
          <w:sz w:val="32"/>
          <w:szCs w:val="32"/>
          <w:highlight w:val="yellow"/>
        </w:rPr>
      </w:pPr>
      <w:r>
        <w:rPr>
          <w:rFonts w:ascii="Times New Roman" w:hAnsi="Times New Roman" w:eastAsia="仿宋_GB2312" w:cs="Times New Roman"/>
          <w:kern w:val="2"/>
          <w:sz w:val="32"/>
          <w:szCs w:val="32"/>
        </w:rPr>
        <w:t>2023</w:t>
      </w:r>
      <w:r>
        <w:rPr>
          <w:rFonts w:ascii="Times New Roman" w:hAnsi="Times New Roman" w:eastAsia="仿宋_GB2312" w:cs="Times New Roman"/>
          <w:kern w:val="2"/>
          <w:sz w:val="32"/>
          <w:szCs w:val="32"/>
          <w:lang w:val="zh-CN"/>
        </w:rPr>
        <w:t>年度财政拨款支出</w:t>
      </w:r>
      <w:r>
        <w:rPr>
          <w:rFonts w:ascii="Times New Roman" w:hAnsi="Times New Roman" w:eastAsia="仿宋_GB2312" w:cs="Times New Roman"/>
          <w:kern w:val="2"/>
          <w:sz w:val="32"/>
          <w:szCs w:val="32"/>
        </w:rPr>
        <w:t>191.95</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主要用于以下方面</w:t>
      </w:r>
      <w:r>
        <w:rPr>
          <w:rFonts w:ascii="Times New Roman" w:hAnsi="Times New Roman" w:eastAsia="仿宋_GB2312" w:cs="Times New Roman"/>
          <w:kern w:val="2"/>
          <w:sz w:val="32"/>
          <w:szCs w:val="32"/>
        </w:rPr>
        <w:t>：</w:t>
      </w:r>
    </w:p>
    <w:p>
      <w:pPr>
        <w:numPr>
          <w:ilvl w:val="0"/>
          <w:numId w:val="0"/>
        </w:numPr>
        <w:adjustRightInd w:val="0"/>
        <w:snapToGrid w:val="0"/>
        <w:spacing w:after="0" w:afterLines="0" w:line="580" w:lineRule="exact"/>
        <w:ind w:firstLine="640" w:firstLineChars="200"/>
        <w:rPr>
          <w:rFonts w:ascii="Times New Roman" w:hAnsi="Times New Roman" w:eastAsia="仿宋_GB2312"/>
          <w:kern w:val="2"/>
          <w:sz w:val="32"/>
          <w:szCs w:val="32"/>
        </w:rPr>
      </w:pPr>
      <w:r>
        <w:rPr>
          <w:rFonts w:ascii="Times New Roman" w:hAnsi="Times New Roman" w:eastAsia="仿宋_GB2312"/>
          <w:kern w:val="2"/>
          <w:sz w:val="32"/>
          <w:szCs w:val="32"/>
          <w:lang w:val="zh-CN"/>
        </w:rPr>
        <w:t>一般公共服务</w:t>
      </w:r>
      <w:r>
        <w:rPr>
          <w:rFonts w:ascii="Times New Roman" w:hAnsi="Times New Roman" w:eastAsia="仿宋_GB2312"/>
          <w:kern w:val="2"/>
          <w:sz w:val="32"/>
          <w:szCs w:val="32"/>
        </w:rPr>
        <w:t>（</w:t>
      </w:r>
      <w:r>
        <w:rPr>
          <w:rFonts w:ascii="Times New Roman" w:hAnsi="Times New Roman" w:eastAsia="仿宋_GB2312"/>
          <w:kern w:val="2"/>
          <w:sz w:val="32"/>
          <w:szCs w:val="32"/>
          <w:lang w:val="zh-CN"/>
        </w:rPr>
        <w:t>类</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支出</w:t>
      </w:r>
      <w:r>
        <w:rPr>
          <w:rFonts w:ascii="Times New Roman" w:hAnsi="Times New Roman" w:eastAsia="仿宋_GB2312"/>
          <w:kern w:val="2"/>
          <w:sz w:val="32"/>
          <w:szCs w:val="32"/>
        </w:rPr>
        <w:t>133.95</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占</w:t>
      </w:r>
      <w:r>
        <w:rPr>
          <w:rFonts w:ascii="Times New Roman" w:hAnsi="Times New Roman" w:eastAsia="仿宋_GB2312"/>
          <w:kern w:val="2"/>
          <w:sz w:val="32"/>
          <w:szCs w:val="32"/>
        </w:rPr>
        <w:t>69.78%</w:t>
      </w:r>
      <w:r>
        <w:rPr>
          <w:rFonts w:hint="eastAsia" w:ascii="Times New Roman" w:hAnsi="Times New Roman" w:eastAsia="仿宋_GB2312"/>
          <w:kern w:val="2"/>
          <w:sz w:val="32"/>
          <w:szCs w:val="32"/>
          <w:lang w:eastAsia="zh-CN"/>
        </w:rPr>
        <w:t>，主要</w:t>
      </w:r>
      <w:r>
        <w:rPr>
          <w:rStyle w:val="13"/>
          <w:rFonts w:hint="eastAsia" w:ascii="仿宋_GB2312" w:hAnsi="仿宋_GB2312" w:eastAsia="仿宋_GB2312" w:cs="仿宋_GB2312"/>
          <w:b w:val="0"/>
          <w:bCs w:val="0"/>
          <w:sz w:val="33"/>
          <w:szCs w:val="33"/>
          <w:highlight w:val="none"/>
          <w:rtl w:val="0"/>
          <w:lang w:val="en-US" w:eastAsia="zh-CN"/>
        </w:rPr>
        <w:t>用于日常公用和人员经费等支出</w:t>
      </w:r>
      <w:r>
        <w:rPr>
          <w:rFonts w:ascii="Times New Roman" w:hAnsi="Times New Roman" w:eastAsia="仿宋_GB2312"/>
          <w:kern w:val="2"/>
          <w:sz w:val="32"/>
          <w:szCs w:val="32"/>
        </w:rPr>
        <w:t>；</w:t>
      </w:r>
      <w:r>
        <w:rPr>
          <w:rFonts w:ascii="Times New Roman" w:hAnsi="Times New Roman" w:eastAsia="仿宋_GB2312"/>
          <w:kern w:val="2"/>
          <w:sz w:val="32"/>
          <w:szCs w:val="32"/>
          <w:lang w:val="zh-CN"/>
        </w:rPr>
        <w:t>社会保障和就业</w:t>
      </w:r>
      <w:r>
        <w:rPr>
          <w:rFonts w:ascii="Times New Roman" w:hAnsi="Times New Roman" w:eastAsia="仿宋_GB2312"/>
          <w:kern w:val="2"/>
          <w:sz w:val="32"/>
          <w:szCs w:val="32"/>
        </w:rPr>
        <w:t xml:space="preserve"> （</w:t>
      </w:r>
      <w:r>
        <w:rPr>
          <w:rFonts w:ascii="Times New Roman" w:hAnsi="Times New Roman" w:eastAsia="仿宋_GB2312"/>
          <w:kern w:val="2"/>
          <w:sz w:val="32"/>
          <w:szCs w:val="32"/>
          <w:lang w:val="zh-CN"/>
        </w:rPr>
        <w:t>类</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支出</w:t>
      </w:r>
      <w:r>
        <w:rPr>
          <w:rFonts w:ascii="Times New Roman" w:hAnsi="Times New Roman" w:eastAsia="仿宋_GB2312"/>
          <w:kern w:val="2"/>
          <w:sz w:val="32"/>
          <w:szCs w:val="32"/>
        </w:rPr>
        <w:t>33.08</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占</w:t>
      </w:r>
      <w:r>
        <w:rPr>
          <w:rFonts w:ascii="Times New Roman" w:hAnsi="Times New Roman" w:eastAsia="仿宋_GB2312"/>
          <w:kern w:val="2"/>
          <w:sz w:val="32"/>
          <w:szCs w:val="32"/>
        </w:rPr>
        <w:t>17.23%</w:t>
      </w:r>
      <w:r>
        <w:rPr>
          <w:rFonts w:hint="eastAsia" w:ascii="Times New Roman" w:hAnsi="Times New Roman" w:eastAsia="仿宋_GB2312"/>
          <w:kern w:val="2"/>
          <w:sz w:val="32"/>
          <w:szCs w:val="32"/>
          <w:lang w:eastAsia="zh-CN"/>
        </w:rPr>
        <w:t>，</w:t>
      </w:r>
      <w:r>
        <w:rPr>
          <w:rStyle w:val="13"/>
          <w:rFonts w:hint="eastAsia" w:ascii="仿宋_GB2312" w:hAnsi="仿宋_GB2312" w:eastAsia="仿宋_GB2312" w:cs="仿宋_GB2312"/>
          <w:b w:val="0"/>
          <w:bCs w:val="0"/>
          <w:sz w:val="33"/>
          <w:szCs w:val="33"/>
          <w:highlight w:val="none"/>
          <w:rtl w:val="0"/>
          <w:lang w:val="en-US" w:eastAsia="zh-CN"/>
        </w:rPr>
        <w:t>主要用于缴纳养老保险等支出</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卫生健康</w:t>
      </w:r>
      <w:r>
        <w:rPr>
          <w:rFonts w:ascii="Times New Roman" w:hAnsi="Times New Roman" w:eastAsia="仿宋_GB2312"/>
          <w:kern w:val="2"/>
          <w:sz w:val="32"/>
          <w:szCs w:val="32"/>
        </w:rPr>
        <w:t>（</w:t>
      </w:r>
      <w:r>
        <w:rPr>
          <w:rFonts w:ascii="Times New Roman" w:hAnsi="Times New Roman" w:eastAsia="仿宋_GB2312"/>
          <w:kern w:val="2"/>
          <w:sz w:val="32"/>
          <w:szCs w:val="32"/>
          <w:lang w:val="zh-CN"/>
        </w:rPr>
        <w:t>类</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支出</w:t>
      </w:r>
      <w:r>
        <w:rPr>
          <w:rFonts w:ascii="Times New Roman" w:hAnsi="Times New Roman" w:eastAsia="仿宋_GB2312"/>
          <w:kern w:val="2"/>
          <w:sz w:val="32"/>
          <w:szCs w:val="32"/>
        </w:rPr>
        <w:t>10.91</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占</w:t>
      </w:r>
      <w:r>
        <w:rPr>
          <w:rFonts w:ascii="Times New Roman" w:hAnsi="Times New Roman" w:eastAsia="仿宋_GB2312"/>
          <w:kern w:val="2"/>
          <w:sz w:val="32"/>
          <w:szCs w:val="32"/>
        </w:rPr>
        <w:t>5.68%</w:t>
      </w:r>
      <w:r>
        <w:rPr>
          <w:rFonts w:hint="eastAsia" w:ascii="Times New Roman" w:hAnsi="Times New Roman" w:eastAsia="仿宋_GB2312"/>
          <w:kern w:val="2"/>
          <w:sz w:val="32"/>
          <w:szCs w:val="32"/>
          <w:lang w:eastAsia="zh-CN"/>
        </w:rPr>
        <w:t>，</w:t>
      </w:r>
      <w:r>
        <w:rPr>
          <w:rStyle w:val="13"/>
          <w:rFonts w:hint="eastAsia" w:ascii="仿宋_GB2312" w:hAnsi="仿宋_GB2312" w:eastAsia="仿宋_GB2312" w:cs="仿宋_GB2312"/>
          <w:b w:val="0"/>
          <w:bCs w:val="0"/>
          <w:sz w:val="33"/>
          <w:szCs w:val="33"/>
          <w:highlight w:val="none"/>
          <w:rtl w:val="0"/>
          <w:lang w:val="en-US" w:eastAsia="zh-CN"/>
        </w:rPr>
        <w:t>主要用于缴纳医疗保险支出</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住房保障</w:t>
      </w:r>
      <w:r>
        <w:rPr>
          <w:rFonts w:ascii="Times New Roman" w:hAnsi="Times New Roman" w:eastAsia="仿宋_GB2312"/>
          <w:kern w:val="2"/>
          <w:sz w:val="32"/>
          <w:szCs w:val="32"/>
        </w:rPr>
        <w:t>（</w:t>
      </w:r>
      <w:r>
        <w:rPr>
          <w:rFonts w:ascii="Times New Roman" w:hAnsi="Times New Roman" w:eastAsia="仿宋_GB2312"/>
          <w:kern w:val="2"/>
          <w:sz w:val="32"/>
          <w:szCs w:val="32"/>
          <w:lang w:val="zh-CN"/>
        </w:rPr>
        <w:t>类</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支出</w:t>
      </w:r>
      <w:r>
        <w:rPr>
          <w:rFonts w:ascii="Times New Roman" w:hAnsi="Times New Roman" w:eastAsia="仿宋_GB2312"/>
          <w:kern w:val="2"/>
          <w:sz w:val="32"/>
          <w:szCs w:val="32"/>
        </w:rPr>
        <w:t>14.01</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占</w:t>
      </w:r>
      <w:r>
        <w:rPr>
          <w:rFonts w:ascii="Times New Roman" w:hAnsi="Times New Roman" w:eastAsia="仿宋_GB2312"/>
          <w:kern w:val="2"/>
          <w:sz w:val="32"/>
          <w:szCs w:val="32"/>
        </w:rPr>
        <w:t>7.3%</w:t>
      </w:r>
      <w:r>
        <w:rPr>
          <w:rFonts w:hint="eastAsia" w:ascii="Times New Roman" w:hAnsi="Times New Roman" w:eastAsia="仿宋_GB2312"/>
          <w:kern w:val="2"/>
          <w:sz w:val="32"/>
          <w:szCs w:val="32"/>
          <w:lang w:eastAsia="zh-CN"/>
        </w:rPr>
        <w:t>，</w:t>
      </w:r>
      <w:r>
        <w:rPr>
          <w:rStyle w:val="13"/>
          <w:rFonts w:hint="eastAsia" w:ascii="仿宋_GB2312" w:hAnsi="仿宋_GB2312" w:eastAsia="仿宋_GB2312" w:cs="仿宋_GB2312"/>
          <w:b w:val="0"/>
          <w:bCs w:val="0"/>
          <w:sz w:val="33"/>
          <w:szCs w:val="33"/>
          <w:highlight w:val="none"/>
          <w:rtl w:val="0"/>
          <w:lang w:val="en-US" w:eastAsia="zh-CN"/>
        </w:rPr>
        <w:t>主要用于缴纳住房公积金支出</w:t>
      </w:r>
      <w:r>
        <w:rPr>
          <w:rFonts w:ascii="Times New Roman" w:hAnsi="Times New Roman" w:eastAsia="仿宋_GB2312"/>
          <w:kern w:val="2"/>
          <w:sz w:val="32"/>
          <w:szCs w:val="32"/>
          <w:lang w:val="zh-CN"/>
        </w:rPr>
        <w:t>。</w:t>
      </w:r>
    </w:p>
    <w:p>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drawing>
          <wp:inline distT="0" distB="0" distL="114300" distR="114300">
            <wp:extent cx="5278755" cy="3361690"/>
            <wp:effectExtent l="4445" t="4445" r="5080"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pStyle w:val="10"/>
        <w:widowControl/>
        <w:numPr>
          <w:ilvl w:val="0"/>
          <w:numId w:val="2"/>
        </w:numPr>
        <w:spacing w:beforeAutospacing="0" w:afterAutospacing="0"/>
        <w:jc w:val="both"/>
        <w:outlineLvl w:val="2"/>
        <w:rPr>
          <w:rFonts w:ascii="Times New Roman" w:hAnsi="Times New Roman" w:eastAsia="仿宋_GB2312"/>
          <w:color w:val="333333"/>
          <w:sz w:val="33"/>
          <w:szCs w:val="33"/>
          <w:shd w:val="clear" w:color="auto" w:fill="FFFFFF"/>
        </w:rPr>
      </w:pPr>
      <w:r>
        <w:rPr>
          <w:rFonts w:ascii="Times New Roman" w:hAnsi="Times New Roman" w:eastAsia="楷体_GB2312"/>
          <w:b/>
          <w:bCs/>
          <w:kern w:val="2"/>
          <w:sz w:val="32"/>
          <w:szCs w:val="32"/>
        </w:rPr>
        <w:t>一般公共预算基本支出决算情况说明</w:t>
      </w:r>
      <w:r>
        <w:rPr>
          <w:rFonts w:ascii="Times New Roman" w:hAnsi="Times New Roman" w:eastAsia="仿宋_GB2312"/>
          <w:color w:val="333333"/>
          <w:sz w:val="33"/>
          <w:szCs w:val="33"/>
          <w:shd w:val="clear" w:color="auto" w:fill="FFFFFF"/>
        </w:rPr>
        <w:t xml:space="preserve"> </w:t>
      </w:r>
    </w:p>
    <w:p>
      <w:pPr>
        <w:pStyle w:val="10"/>
        <w:widowControl/>
        <w:spacing w:beforeAutospacing="0" w:afterAutospacing="0"/>
        <w:ind w:firstLine="640" w:firstLineChars="200"/>
        <w:rPr>
          <w:rFonts w:hint="eastAsia" w:ascii="Times New Roman" w:hAnsi="Times New Roman" w:eastAsia="仿宋_GB2312"/>
          <w:sz w:val="32"/>
          <w:szCs w:val="32"/>
          <w:lang w:eastAsia="zh-CN"/>
        </w:rPr>
      </w:pPr>
      <w:r>
        <w:rPr>
          <w:rFonts w:ascii="Times New Roman" w:hAnsi="Times New Roman" w:eastAsia="仿宋_GB2312"/>
          <w:kern w:val="2"/>
          <w:sz w:val="32"/>
          <w:szCs w:val="32"/>
        </w:rPr>
        <w:t>2023</w:t>
      </w:r>
      <w:r>
        <w:rPr>
          <w:rFonts w:ascii="Times New Roman" w:hAnsi="Times New Roman" w:eastAsia="仿宋_GB2312"/>
          <w:kern w:val="2"/>
          <w:sz w:val="32"/>
          <w:szCs w:val="32"/>
          <w:lang w:val="zh-CN"/>
        </w:rPr>
        <w:t>年度财政拨款基本支出</w:t>
      </w:r>
      <w:r>
        <w:rPr>
          <w:rFonts w:ascii="Times New Roman" w:hAnsi="Times New Roman" w:eastAsia="仿宋_GB2312"/>
          <w:kern w:val="2"/>
          <w:sz w:val="32"/>
          <w:szCs w:val="32"/>
        </w:rPr>
        <w:t>191.95</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其中</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人员经费183.29万元，主要包括基本工资、津贴补贴、奖金、绩效工资、机关事业部门基本养老保险缴费、职工基本医疗保险缴费、住房公积金、其他社会保障缴费、 退休费、 抚恤金、奖励金、其他对</w:t>
      </w:r>
      <w:r>
        <w:rPr>
          <w:rFonts w:ascii="Times New Roman" w:hAnsi="Times New Roman" w:eastAsia="仿宋_GB2312"/>
          <w:color w:val="333333"/>
          <w:sz w:val="33"/>
          <w:szCs w:val="33"/>
          <w:shd w:val="clear" w:color="auto" w:fill="FFFFFF"/>
        </w:rPr>
        <w:t>个人和家庭</w:t>
      </w:r>
      <w:r>
        <w:rPr>
          <w:rFonts w:ascii="Times New Roman" w:hAnsi="Times New Roman" w:eastAsia="仿宋_GB2312"/>
          <w:kern w:val="2"/>
          <w:sz w:val="32"/>
          <w:szCs w:val="32"/>
          <w:lang w:val="zh-CN"/>
        </w:rPr>
        <w:t>的补助支出</w:t>
      </w:r>
      <w:r>
        <w:rPr>
          <w:rFonts w:hint="eastAsia" w:ascii="Times New Roman" w:hAnsi="Times New Roman" w:eastAsia="仿宋_GB2312"/>
          <w:kern w:val="2"/>
          <w:sz w:val="32"/>
          <w:szCs w:val="32"/>
          <w:lang w:val="zh-CN"/>
        </w:rPr>
        <w:t>。</w:t>
      </w:r>
    </w:p>
    <w:p>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公用经费8.67万元，主要包括办公费、差旅费、工会经费、福利费、其他商品和服务支出。</w:t>
      </w:r>
    </w:p>
    <w:p>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五、财政拨款“三公” 经费支出决算情况说明</w:t>
      </w:r>
    </w:p>
    <w:p>
      <w:pPr>
        <w:pStyle w:val="10"/>
        <w:widowControl/>
        <w:spacing w:beforeAutospacing="0" w:afterAutospacing="0"/>
        <w:ind w:firstLine="321" w:firstLineChars="10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（一）“三公”经费财政拨款支出决算总体情况说明</w:t>
      </w:r>
    </w:p>
    <w:p>
      <w:pPr>
        <w:pStyle w:val="10"/>
        <w:widowControl/>
        <w:spacing w:beforeAutospacing="0" w:afterAutospacing="0"/>
        <w:rPr>
          <w:rFonts w:ascii="Times New Roman" w:hAnsi="Times New Roman" w:eastAsia="仿宋_GB2312"/>
          <w:kern w:val="2"/>
          <w:sz w:val="32"/>
          <w:szCs w:val="32"/>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rPr>
        <w:t xml:space="preserve"> 本单位2023</w:t>
      </w:r>
      <w:r>
        <w:rPr>
          <w:rFonts w:ascii="Times New Roman" w:hAnsi="Times New Roman" w:eastAsia="仿宋_GB2312"/>
          <w:kern w:val="2"/>
          <w:sz w:val="32"/>
          <w:szCs w:val="32"/>
          <w:lang w:val="zh-CN"/>
        </w:rPr>
        <w:t>年度</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三公</w:t>
      </w:r>
      <w:r>
        <w:rPr>
          <w:rFonts w:ascii="Times New Roman" w:hAnsi="Times New Roman" w:eastAsia="仿宋_GB2312"/>
          <w:kern w:val="2"/>
          <w:sz w:val="32"/>
          <w:szCs w:val="32"/>
        </w:rPr>
        <w:t>”</w:t>
      </w:r>
      <w:r>
        <w:rPr>
          <w:rFonts w:ascii="Times New Roman" w:hAnsi="Times New Roman" w:eastAsia="仿宋_GB2312"/>
          <w:kern w:val="2"/>
          <w:sz w:val="32"/>
          <w:szCs w:val="32"/>
          <w:lang w:val="zh-CN"/>
        </w:rPr>
        <w:t>经费财政拨款支出预算为</w:t>
      </w:r>
      <w:r>
        <w:rPr>
          <w:rFonts w:ascii="Times New Roman" w:hAnsi="Times New Roman" w:eastAsia="仿宋_GB2312"/>
          <w:kern w:val="2"/>
          <w:sz w:val="32"/>
          <w:szCs w:val="32"/>
        </w:rPr>
        <w:t>0</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支出决算为</w:t>
      </w:r>
      <w:r>
        <w:rPr>
          <w:rFonts w:ascii="Times New Roman" w:hAnsi="Times New Roman" w:eastAsia="仿宋_GB2312"/>
          <w:kern w:val="2"/>
          <w:sz w:val="32"/>
          <w:szCs w:val="32"/>
        </w:rPr>
        <w:t xml:space="preserve"> 0</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完成预算的</w:t>
      </w:r>
      <w:r>
        <w:rPr>
          <w:rFonts w:ascii="Times New Roman" w:hAnsi="Times New Roman" w:eastAsia="仿宋_GB2312"/>
          <w:kern w:val="2"/>
          <w:sz w:val="32"/>
          <w:szCs w:val="32"/>
        </w:rPr>
        <w:t xml:space="preserve"> 0%，</w:t>
      </w:r>
      <w:r>
        <w:rPr>
          <w:rFonts w:ascii="Times New Roman" w:hAnsi="Times New Roman" w:eastAsia="仿宋_GB2312"/>
          <w:kern w:val="2"/>
          <w:sz w:val="32"/>
          <w:szCs w:val="32"/>
          <w:lang w:val="zh-CN"/>
        </w:rPr>
        <w:t>较预算</w:t>
      </w:r>
      <w:r>
        <w:rPr>
          <w:rFonts w:hint="eastAsia" w:ascii="Times New Roman" w:hAnsi="Times New Roman" w:eastAsia="仿宋_GB2312"/>
          <w:kern w:val="2"/>
          <w:sz w:val="32"/>
          <w:szCs w:val="32"/>
        </w:rPr>
        <w:t>持平，</w:t>
      </w:r>
      <w:r>
        <w:rPr>
          <w:rFonts w:ascii="Times New Roman" w:hAnsi="Times New Roman" w:eastAsia="仿宋_GB2312"/>
          <w:kern w:val="2"/>
          <w:sz w:val="32"/>
          <w:szCs w:val="32"/>
          <w:lang w:val="zh-CN"/>
        </w:rPr>
        <w:t>主要是</w:t>
      </w:r>
      <w:r>
        <w:rPr>
          <w:rStyle w:val="13"/>
          <w:rFonts w:hint="eastAsia" w:ascii="仿宋_GB2312" w:hAnsi="仿宋_GB2312" w:eastAsia="仿宋_GB2312" w:cs="仿宋_GB2312"/>
          <w:b w:val="0"/>
          <w:bCs w:val="0"/>
          <w:sz w:val="33"/>
          <w:szCs w:val="33"/>
          <w:highlight w:val="none"/>
          <w:rtl w:val="0"/>
          <w:lang w:val="en-US" w:eastAsia="zh-CN"/>
        </w:rPr>
        <w:t>严格控制接待标准及范围，严格控制出国经费开支</w:t>
      </w:r>
      <w:r>
        <w:rPr>
          <w:rFonts w:ascii="Times New Roman" w:hAnsi="Times New Roman" w:eastAsia="仿宋_GB2312"/>
          <w:kern w:val="2"/>
          <w:sz w:val="32"/>
          <w:szCs w:val="32"/>
        </w:rPr>
        <w:t>；</w:t>
      </w:r>
      <w:r>
        <w:rPr>
          <w:rFonts w:ascii="Times New Roman" w:hAnsi="Times New Roman" w:eastAsia="仿宋_GB2312"/>
          <w:kern w:val="2"/>
          <w:sz w:val="32"/>
          <w:szCs w:val="32"/>
          <w:lang w:val="zh-CN"/>
        </w:rPr>
        <w:t>较</w:t>
      </w:r>
      <w:r>
        <w:rPr>
          <w:rFonts w:ascii="Times New Roman" w:hAnsi="Times New Roman" w:eastAsia="仿宋_GB2312"/>
          <w:kern w:val="2"/>
          <w:sz w:val="32"/>
          <w:szCs w:val="32"/>
        </w:rPr>
        <w:t>2022</w:t>
      </w:r>
      <w:r>
        <w:rPr>
          <w:rFonts w:ascii="Times New Roman" w:hAnsi="Times New Roman" w:eastAsia="仿宋_GB2312"/>
          <w:kern w:val="2"/>
          <w:sz w:val="32"/>
          <w:szCs w:val="32"/>
          <w:lang w:val="zh-CN"/>
        </w:rPr>
        <w:t>年度决算</w:t>
      </w:r>
      <w:r>
        <w:rPr>
          <w:rFonts w:hint="eastAsia" w:ascii="Times New Roman" w:hAnsi="Times New Roman" w:eastAsia="仿宋_GB2312"/>
          <w:kern w:val="2"/>
          <w:sz w:val="32"/>
          <w:szCs w:val="32"/>
        </w:rPr>
        <w:t>持平</w:t>
      </w:r>
      <w:r>
        <w:rPr>
          <w:rFonts w:hint="eastAsia" w:ascii="Times New Roman" w:hAnsi="Times New Roman" w:eastAsia="仿宋_GB2312" w:cs="仿宋_GB2312"/>
          <w:sz w:val="30"/>
          <w:szCs w:val="30"/>
        </w:rPr>
        <w:t>，</w:t>
      </w:r>
      <w:r>
        <w:rPr>
          <w:rFonts w:ascii="Times New Roman" w:hAnsi="Times New Roman" w:eastAsia="仿宋_GB2312"/>
          <w:kern w:val="2"/>
          <w:sz w:val="32"/>
          <w:szCs w:val="32"/>
          <w:lang w:val="zh-CN"/>
        </w:rPr>
        <w:t>主要是</w:t>
      </w:r>
      <w:r>
        <w:rPr>
          <w:rStyle w:val="13"/>
          <w:rFonts w:hint="eastAsia" w:ascii="仿宋_GB2312" w:hAnsi="仿宋_GB2312" w:eastAsia="仿宋_GB2312" w:cs="仿宋_GB2312"/>
          <w:b w:val="0"/>
          <w:bCs w:val="0"/>
          <w:sz w:val="33"/>
          <w:szCs w:val="33"/>
          <w:highlight w:val="none"/>
          <w:rtl w:val="0"/>
          <w:lang w:val="en-US" w:eastAsia="zh-CN"/>
        </w:rPr>
        <w:t>严格控制接待标准及范围，严格控制出国经费开支</w:t>
      </w:r>
      <w:r>
        <w:rPr>
          <w:rFonts w:ascii="Times New Roman" w:hAnsi="Times New Roman" w:eastAsia="仿宋_GB2312"/>
          <w:kern w:val="2"/>
          <w:sz w:val="32"/>
          <w:szCs w:val="32"/>
          <w:lang w:val="zh-CN"/>
        </w:rPr>
        <w:t>。</w:t>
      </w:r>
    </w:p>
    <w:p>
      <w:pPr>
        <w:adjustRightInd w:val="0"/>
        <w:snapToGrid w:val="0"/>
        <w:spacing w:line="580" w:lineRule="exact"/>
        <w:ind w:firstLine="321" w:firstLineChars="100"/>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（二）“三公”经费财政拨款支出决算具体情况说明</w:t>
      </w:r>
    </w:p>
    <w:p>
      <w:pPr>
        <w:pStyle w:val="10"/>
        <w:widowControl/>
        <w:spacing w:beforeAutospacing="0" w:afterAutospacing="0"/>
        <w:ind w:firstLine="642" w:firstLineChars="200"/>
        <w:rPr>
          <w:rFonts w:ascii="Times New Roman" w:hAnsi="Times New Roman" w:eastAsia="仿宋_GB2312"/>
          <w:kern w:val="2"/>
          <w:sz w:val="32"/>
          <w:szCs w:val="32"/>
        </w:rPr>
      </w:pPr>
      <w:r>
        <w:rPr>
          <w:rFonts w:ascii="Times New Roman" w:hAnsi="Times New Roman" w:eastAsia="楷体_GB2312"/>
          <w:b/>
          <w:bCs/>
          <w:kern w:val="2"/>
          <w:sz w:val="32"/>
          <w:szCs w:val="32"/>
        </w:rPr>
        <w:t>1.因公出国（境）费支出情况。</w:t>
      </w:r>
      <w:r>
        <w:rPr>
          <w:rFonts w:ascii="Times New Roman" w:hAnsi="Times New Roman" w:eastAsia="仿宋_GB2312"/>
          <w:kern w:val="2"/>
          <w:sz w:val="32"/>
          <w:szCs w:val="32"/>
          <w:lang w:val="zh-CN"/>
        </w:rPr>
        <w:t>本单位</w:t>
      </w:r>
      <w:r>
        <w:rPr>
          <w:rFonts w:ascii="Times New Roman" w:hAnsi="Times New Roman" w:eastAsia="仿宋_GB2312"/>
          <w:kern w:val="2"/>
          <w:sz w:val="32"/>
          <w:szCs w:val="32"/>
        </w:rPr>
        <w:t>2023年度因公出国（境）费支出预算为0万元,支出决算0万元。完成预算的0%。因公出国（境）费支出较预算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，主要是</w:t>
      </w:r>
      <w:r>
        <w:rPr>
          <w:rFonts w:hint="eastAsia" w:ascii="仿宋_GB2312" w:hAnsi="Times New Roman" w:eastAsia="仿宋_GB2312" w:cs="DengXian-Regular"/>
          <w:sz w:val="32"/>
          <w:szCs w:val="32"/>
          <w:highlight w:val="none"/>
          <w:lang w:eastAsia="zh-CN"/>
        </w:rPr>
        <w:t>因本年度未有出访团组</w:t>
      </w:r>
      <w:r>
        <w:rPr>
          <w:rFonts w:ascii="Times New Roman" w:hAnsi="Times New Roman" w:eastAsia="仿宋_GB2312"/>
          <w:kern w:val="2"/>
          <w:sz w:val="32"/>
          <w:szCs w:val="32"/>
        </w:rPr>
        <w:t>；因公出国（境）团组0个、共0人、参加其他单位组织的因公出国（境）团组</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rPr>
        <w:t>个、无本部门组织的出国（境）团组。较上年</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w:t>
      </w:r>
      <w:r>
        <w:rPr>
          <w:rFonts w:hint="eastAsia" w:ascii="仿宋" w:hAnsi="仿宋" w:eastAsia="仿宋" w:cs="仿宋"/>
          <w:sz w:val="32"/>
          <w:szCs w:val="32"/>
          <w:rtl w:val="0"/>
          <w:lang w:val="en-US" w:eastAsia="zh-CN"/>
        </w:rPr>
        <w:t>主要是2022年度、2023年度均未发生“因公出国（境）”经费支出</w:t>
      </w:r>
      <w:r>
        <w:rPr>
          <w:rFonts w:ascii="Times New Roman" w:hAnsi="Times New Roman" w:eastAsia="仿宋_GB2312"/>
          <w:kern w:val="2"/>
          <w:sz w:val="32"/>
          <w:szCs w:val="32"/>
        </w:rPr>
        <w:t>。</w:t>
      </w:r>
    </w:p>
    <w:p>
      <w:pPr>
        <w:adjustRightInd w:val="0"/>
        <w:snapToGrid w:val="0"/>
        <w:spacing w:line="580" w:lineRule="exact"/>
        <w:ind w:firstLine="642" w:firstLineChars="200"/>
        <w:jc w:val="left"/>
        <w:rPr>
          <w:rFonts w:ascii="Times New Roman" w:hAnsi="Times New Roman" w:eastAsia="Arial"/>
        </w:rPr>
      </w:pPr>
      <w:r>
        <w:rPr>
          <w:rFonts w:ascii="Times New Roman" w:hAnsi="Times New Roman" w:eastAsia="楷体_GB2312" w:cs="Times New Roman"/>
          <w:b/>
          <w:bCs/>
          <w:kern w:val="2"/>
          <w:sz w:val="32"/>
          <w:szCs w:val="32"/>
        </w:rPr>
        <w:t>2.</w:t>
      </w:r>
      <w:r>
        <w:rPr>
          <w:rFonts w:ascii="Times New Roman" w:hAnsi="Times New Roman" w:eastAsia="楷体_GB2312" w:cs="Times New Roman"/>
          <w:b/>
          <w:bCs/>
          <w:sz w:val="32"/>
          <w:szCs w:val="32"/>
        </w:rPr>
        <w:t>公务用车购置及运行维护费支出情况。</w:t>
      </w:r>
      <w:r>
        <w:rPr>
          <w:rFonts w:ascii="Times New Roman" w:hAnsi="Times New Roman" w:eastAsia="仿宋_GB2312" w:cs="Times New Roman"/>
          <w:kern w:val="2"/>
          <w:sz w:val="32"/>
          <w:szCs w:val="32"/>
          <w:lang w:val="zh-CN"/>
        </w:rPr>
        <w:t>本单位202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年度公务用车购置及运行维护费预算为0万元，支出决算 0万元，完成预算的0%,较预算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无境减变化</w:t>
      </w:r>
      <w:r>
        <w:rPr>
          <w:rFonts w:ascii="Times New Roman" w:hAnsi="Times New Roman" w:eastAsia="仿宋_GB2312" w:cs="Times New Roman"/>
          <w:kern w:val="2"/>
          <w:sz w:val="32"/>
          <w:szCs w:val="32"/>
          <w:lang w:val="zh-CN"/>
        </w:rPr>
        <w:t>；较上年</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lang w:val="zh-CN"/>
        </w:rPr>
        <w:t>无增减变化</w:t>
      </w:r>
      <w:r>
        <w:rPr>
          <w:rFonts w:ascii="Times New Roman" w:hAnsi="Times New Roman" w:eastAsia="仿宋_GB2312" w:cs="Times New Roman"/>
          <w:kern w:val="2"/>
          <w:sz w:val="32"/>
          <w:szCs w:val="32"/>
          <w:lang w:val="zh-CN"/>
        </w:rPr>
        <w:t>。其中：</w:t>
      </w:r>
    </w:p>
    <w:p>
      <w:pPr>
        <w:adjustRightInd w:val="0"/>
        <w:snapToGrid w:val="0"/>
        <w:spacing w:line="600" w:lineRule="exact"/>
        <w:ind w:firstLine="642" w:firstLineChars="200"/>
        <w:rPr>
          <w:rFonts w:ascii="Times New Roman" w:hAnsi="Times New Roman" w:eastAsia="仿宋_GB2312" w:cs="Times New Roman"/>
          <w:kern w:val="2"/>
          <w:sz w:val="32"/>
          <w:szCs w:val="32"/>
          <w:lang w:val="zh-CN"/>
        </w:rPr>
      </w:pPr>
      <w:r>
        <w:rPr>
          <w:rFonts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kern w:val="2"/>
          <w:sz w:val="32"/>
          <w:szCs w:val="32"/>
        </w:rPr>
        <w:t>本单位2023</w:t>
      </w:r>
      <w:r>
        <w:rPr>
          <w:rFonts w:ascii="Times New Roman" w:hAnsi="Times New Roman" w:eastAsia="仿宋_GB2312" w:cs="Times New Roman"/>
          <w:kern w:val="2"/>
          <w:sz w:val="32"/>
          <w:szCs w:val="32"/>
          <w:lang w:val="zh-CN"/>
        </w:rPr>
        <w:t>年度公务用车购置量</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辆</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发生</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公务用车购置</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经费支出</w:t>
      </w:r>
      <w:r>
        <w:rPr>
          <w:rFonts w:ascii="Times New Roman" w:hAnsi="Times New Roman" w:eastAsia="仿宋_GB2312" w:cs="Times New Roman"/>
          <w:kern w:val="2"/>
          <w:sz w:val="32"/>
          <w:szCs w:val="32"/>
        </w:rPr>
        <w:t xml:space="preserve"> 0</w:t>
      </w:r>
      <w:r>
        <w:rPr>
          <w:rFonts w:ascii="Times New Roman" w:hAnsi="Times New Roman" w:eastAsia="仿宋_GB2312" w:cs="Times New Roman"/>
          <w:kern w:val="2"/>
          <w:sz w:val="32"/>
          <w:szCs w:val="32"/>
          <w:lang w:val="zh-CN"/>
        </w:rPr>
        <w:t>万元。公务用车购置费支出较预算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未发生“公务用车购置”经费支出</w:t>
      </w:r>
      <w:r>
        <w:rPr>
          <w:rFonts w:ascii="Times New Roman" w:hAnsi="Times New Roman" w:eastAsia="仿宋_GB2312" w:cs="Times New Roman"/>
          <w:kern w:val="2"/>
          <w:sz w:val="32"/>
          <w:szCs w:val="32"/>
          <w:lang w:val="zh-CN"/>
        </w:rPr>
        <w:t>；较上年</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w:t>
      </w:r>
      <w:r>
        <w:rPr>
          <w:rFonts w:hint="eastAsia" w:ascii="仿宋_GB2312" w:hAnsi="Times New Roman" w:eastAsia="仿宋_GB2312" w:cs="DengXian-Regular"/>
          <w:sz w:val="32"/>
          <w:szCs w:val="32"/>
          <w:highlight w:val="none"/>
          <w:lang w:eastAsia="zh-CN"/>
        </w:rPr>
        <w:t>无增减变化；</w:t>
      </w:r>
      <w:r>
        <w:rPr>
          <w:rFonts w:ascii="Times New Roman" w:hAnsi="Times New Roman" w:eastAsia="仿宋_GB2312" w:cs="Times New Roman"/>
          <w:kern w:val="2"/>
          <w:sz w:val="32"/>
          <w:szCs w:val="32"/>
          <w:lang w:val="zh-CN"/>
        </w:rPr>
        <w:t>主要是</w:t>
      </w:r>
      <w:r>
        <w:rPr>
          <w:rFonts w:hint="eastAsia" w:ascii="仿宋" w:hAnsi="仿宋" w:eastAsia="仿宋" w:cs="仿宋"/>
          <w:sz w:val="32"/>
          <w:szCs w:val="32"/>
          <w:rtl w:val="0"/>
          <w:lang w:val="en-US" w:eastAsia="zh-CN"/>
        </w:rPr>
        <w:t>2022年度、2023年度均未发生“公务用车购置”经费支出。</w:t>
      </w:r>
    </w:p>
    <w:p>
      <w:pPr>
        <w:adjustRightInd w:val="0"/>
        <w:snapToGrid w:val="0"/>
        <w:spacing w:line="580" w:lineRule="exact"/>
        <w:ind w:firstLine="642" w:firstLineChars="200"/>
        <w:rPr>
          <w:rFonts w:hint="eastAsia" w:ascii="仿宋_GB2312" w:hAnsi="Times New Roman" w:eastAsia="仿宋_GB2312" w:cs="DengXian-Regular"/>
          <w:sz w:val="32"/>
          <w:szCs w:val="32"/>
        </w:rPr>
      </w:pPr>
      <w:r>
        <w:rPr>
          <w:rFonts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kern w:val="2"/>
          <w:sz w:val="32"/>
          <w:szCs w:val="32"/>
        </w:rPr>
        <w:t>本单位2023</w:t>
      </w:r>
      <w:r>
        <w:rPr>
          <w:rFonts w:ascii="Times New Roman" w:hAnsi="Times New Roman" w:eastAsia="仿宋_GB2312" w:cs="Times New Roman"/>
          <w:kern w:val="2"/>
          <w:sz w:val="32"/>
          <w:szCs w:val="32"/>
          <w:lang w:val="zh-CN"/>
        </w:rPr>
        <w:t>年度单位公务用车保有量</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辆</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发生运行维护费支出</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万元。公车运行维护费支出较预算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w:t>
      </w:r>
      <w:r>
        <w:rPr>
          <w:rFonts w:hint="eastAsia" w:ascii="仿宋_GB2312" w:hAnsi="Times New Roman" w:eastAsia="仿宋_GB2312" w:cs="DengXian-Regular"/>
          <w:sz w:val="32"/>
          <w:szCs w:val="32"/>
          <w:highlight w:val="none"/>
          <w:lang w:eastAsia="zh-CN"/>
        </w:rPr>
        <w:t>无增减变化</w:t>
      </w:r>
      <w:r>
        <w:rPr>
          <w:rFonts w:hint="eastAsia" w:ascii="仿宋_GB2312" w:hAnsi="Times New Roman" w:eastAsia="仿宋_GB2312" w:cs="DengXian-Regular"/>
          <w:sz w:val="32"/>
          <w:szCs w:val="32"/>
          <w:highlight w:val="none"/>
        </w:rPr>
        <w:t>；较上年</w:t>
      </w:r>
      <w:r>
        <w:rPr>
          <w:rFonts w:hint="eastAsia" w:ascii="仿宋_GB2312" w:hAnsi="Times New Roman" w:eastAsia="仿宋_GB2312" w:cs="DengXian-Regular"/>
          <w:sz w:val="32"/>
          <w:szCs w:val="32"/>
          <w:highlight w:val="none"/>
          <w:lang w:eastAsia="zh-CN"/>
        </w:rPr>
        <w:t>持平</w:t>
      </w:r>
      <w:r>
        <w:rPr>
          <w:rFonts w:hint="eastAsia" w:ascii="仿宋_GB2312" w:hAnsi="Times New Roman" w:eastAsia="仿宋_GB2312" w:cs="DengXian-Regular"/>
          <w:sz w:val="32"/>
          <w:szCs w:val="32"/>
          <w:highlight w:val="none"/>
        </w:rPr>
        <w:t>,</w:t>
      </w:r>
      <w:r>
        <w:rPr>
          <w:rFonts w:hint="eastAsia" w:ascii="仿宋_GB2312" w:hAnsi="Times New Roman" w:eastAsia="仿宋_GB2312" w:cs="Wingdings"/>
          <w:sz w:val="32"/>
          <w:szCs w:val="32"/>
          <w:highlight w:val="none"/>
          <w:lang w:eastAsia="zh-CN"/>
        </w:rPr>
        <w:t>无增减变化，主要原因本单位无公务用车。</w:t>
      </w:r>
    </w:p>
    <w:p>
      <w:pPr>
        <w:numPr>
          <w:ilvl w:val="0"/>
          <w:numId w:val="0"/>
        </w:numPr>
        <w:adjustRightInd w:val="0"/>
        <w:snapToGrid w:val="0"/>
        <w:spacing w:line="580" w:lineRule="exact"/>
        <w:rPr>
          <w:rFonts w:ascii="Times New Roman" w:hAnsi="Times New Roman" w:eastAsia="仿宋_GB2312" w:cs="Times New Roman"/>
          <w:kern w:val="2"/>
          <w:sz w:val="32"/>
          <w:szCs w:val="32"/>
          <w:lang w:val="zh-CN"/>
        </w:rPr>
      </w:pPr>
      <w:r>
        <w:rPr>
          <w:rFonts w:ascii="Times New Roman" w:hAnsi="Times New Roman" w:eastAsia="楷体_GB2312" w:cs="Times New Roman"/>
          <w:b/>
          <w:bCs/>
          <w:kern w:val="2"/>
          <w:sz w:val="32"/>
          <w:szCs w:val="32"/>
        </w:rPr>
        <w:t>3.公务接待费。</w:t>
      </w:r>
      <w:r>
        <w:rPr>
          <w:rFonts w:ascii="Times New Roman" w:hAnsi="Times New Roman" w:eastAsia="仿宋_GB2312" w:cs="Times New Roman"/>
          <w:kern w:val="2"/>
          <w:sz w:val="32"/>
          <w:szCs w:val="32"/>
          <w:lang w:val="zh-CN"/>
        </w:rPr>
        <w:t>本单位202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年度公务接待费支出预算为0万元，支出决算0万元，完成预算的0%。公务接待费支出较预算</w:t>
      </w:r>
      <w:r>
        <w:rPr>
          <w:rFonts w:hint="eastAsia" w:ascii="Times New Roman" w:hAnsi="Times New Roman" w:eastAsia="仿宋_GB2312" w:cs="Times New Roman"/>
          <w:kern w:val="2"/>
          <w:sz w:val="32"/>
          <w:szCs w:val="32"/>
          <w:lang w:val="zh-CN"/>
        </w:rPr>
        <w:t>持平，</w:t>
      </w:r>
      <w:r>
        <w:rPr>
          <w:rFonts w:hint="eastAsia" w:ascii="仿宋" w:hAnsi="仿宋" w:eastAsia="仿宋" w:cs="仿宋"/>
          <w:sz w:val="32"/>
          <w:szCs w:val="32"/>
          <w:rtl w:val="0"/>
          <w:lang w:val="en-US" w:eastAsia="zh-CN"/>
        </w:rPr>
        <w:t>较上年持平，</w:t>
      </w:r>
      <w:r>
        <w:rPr>
          <w:rFonts w:hint="eastAsia" w:ascii="仿宋_GB2312" w:hAnsi="Times New Roman" w:eastAsia="仿宋_GB2312" w:cs="Wingdings"/>
          <w:sz w:val="32"/>
          <w:szCs w:val="32"/>
          <w:highlight w:val="none"/>
          <w:lang w:eastAsia="zh-CN"/>
        </w:rPr>
        <w:t>无增减变化，</w:t>
      </w:r>
      <w:r>
        <w:rPr>
          <w:rFonts w:hint="eastAsia" w:ascii="仿宋" w:hAnsi="仿宋" w:eastAsia="仿宋" w:cs="仿宋"/>
          <w:sz w:val="32"/>
          <w:szCs w:val="32"/>
          <w:rtl w:val="0"/>
          <w:lang w:val="en-US" w:eastAsia="zh-CN"/>
        </w:rPr>
        <w:t>主要是2022年度、2023年度均未发生“公务接待费”经费支出。</w:t>
      </w:r>
      <w:r>
        <w:rPr>
          <w:rFonts w:ascii="Times New Roman" w:hAnsi="Times New Roman" w:eastAsia="仿宋_GB2312" w:cs="Times New Roman"/>
          <w:kern w:val="2"/>
          <w:sz w:val="32"/>
          <w:szCs w:val="32"/>
          <w:lang w:val="zh-CN"/>
        </w:rPr>
        <w:t>本年度共发生公务接待</w:t>
      </w:r>
      <w:r>
        <w:rPr>
          <w:rFonts w:hint="eastAsia" w:ascii="Times New Roman" w:hAnsi="Times New Roman" w:eastAsia="仿宋_GB2312" w:cs="Times New Roman"/>
          <w:kern w:val="2"/>
          <w:sz w:val="32"/>
          <w:szCs w:val="32"/>
          <w:lang w:val="en-US" w:eastAsia="zh-CN"/>
        </w:rPr>
        <w:t>0</w:t>
      </w:r>
      <w:r>
        <w:rPr>
          <w:rFonts w:ascii="Times New Roman" w:hAnsi="Times New Roman" w:eastAsia="仿宋_GB2312" w:cs="Times New Roman"/>
          <w:kern w:val="2"/>
          <w:sz w:val="32"/>
          <w:szCs w:val="32"/>
          <w:lang w:val="zh-CN"/>
        </w:rPr>
        <w:t>批次、</w:t>
      </w:r>
      <w:r>
        <w:rPr>
          <w:rFonts w:hint="eastAsia" w:ascii="Times New Roman" w:hAnsi="Times New Roman" w:eastAsia="仿宋_GB2312" w:cs="Times New Roman"/>
          <w:kern w:val="2"/>
          <w:sz w:val="32"/>
          <w:szCs w:val="32"/>
          <w:lang w:val="en-US" w:eastAsia="zh-CN"/>
        </w:rPr>
        <w:t>0</w:t>
      </w:r>
      <w:r>
        <w:rPr>
          <w:rFonts w:ascii="Times New Roman" w:hAnsi="Times New Roman" w:eastAsia="仿宋_GB2312" w:cs="Times New Roman"/>
          <w:kern w:val="2"/>
          <w:sz w:val="32"/>
          <w:szCs w:val="32"/>
          <w:lang w:val="zh-CN"/>
        </w:rPr>
        <w:t>人次。</w:t>
      </w:r>
    </w:p>
    <w:p>
      <w:pPr>
        <w:pStyle w:val="10"/>
        <w:widowControl/>
        <w:spacing w:beforeAutospacing="0" w:afterAutospacing="0"/>
        <w:jc w:val="both"/>
        <w:outlineLvl w:val="1"/>
        <w:rPr>
          <w:rFonts w:ascii="Times New Roman" w:hAnsi="Times New Roman" w:eastAsia="仿宋_GB2312"/>
          <w:sz w:val="32"/>
          <w:szCs w:val="32"/>
          <w:highlight w:val="yellow"/>
        </w:rPr>
      </w:pPr>
      <w:r>
        <w:rPr>
          <w:rFonts w:ascii="Times New Roman" w:hAnsi="Times New Roman" w:eastAsia="黑体"/>
          <w:color w:val="333333"/>
          <w:sz w:val="33"/>
          <w:szCs w:val="33"/>
          <w:shd w:val="clear" w:color="auto" w:fill="FFFFFF"/>
        </w:rPr>
        <w:t>六、</w:t>
      </w:r>
      <w:r>
        <w:rPr>
          <w:rFonts w:ascii="Times New Roman" w:hAnsi="Times New Roman" w:eastAsia="黑体"/>
          <w:sz w:val="32"/>
          <w:szCs w:val="32"/>
        </w:rPr>
        <w:t>机关运行经费支出说明</w:t>
      </w:r>
    </w:p>
    <w:p>
      <w:pPr>
        <w:adjustRightInd w:val="0"/>
        <w:snapToGrid w:val="0"/>
        <w:spacing w:line="580" w:lineRule="exact"/>
        <w:ind w:firstLine="640" w:firstLineChars="200"/>
        <w:rPr>
          <w:rFonts w:hint="eastAsia" w:ascii="仿宋_GB2312" w:hAnsi="仿宋_GB2312" w:eastAsia="仿宋_GB2312" w:cs="仿宋_GB2312"/>
          <w:sz w:val="32"/>
          <w:szCs w:val="32"/>
          <w:highlight w:val="none"/>
          <w:lang w:eastAsia="zh-CN"/>
        </w:rPr>
      </w:pPr>
      <w:r>
        <w:rPr>
          <w:rFonts w:ascii="Times New Roman" w:hAnsi="Times New Roman" w:eastAsia="仿宋_GB2312"/>
          <w:kern w:val="2"/>
          <w:sz w:val="32"/>
          <w:szCs w:val="32"/>
        </w:rPr>
        <w:t>本单位2023</w:t>
      </w:r>
      <w:r>
        <w:rPr>
          <w:rFonts w:ascii="Times New Roman" w:hAnsi="Times New Roman" w:eastAsia="仿宋_GB2312"/>
          <w:kern w:val="2"/>
          <w:sz w:val="32"/>
          <w:szCs w:val="32"/>
          <w:lang w:val="zh-CN"/>
        </w:rPr>
        <w:t>年度机关运行经费支出</w:t>
      </w:r>
      <w:r>
        <w:rPr>
          <w:rFonts w:ascii="Times New Roman" w:hAnsi="Times New Roman" w:eastAsia="仿宋_GB2312"/>
          <w:kern w:val="2"/>
          <w:sz w:val="32"/>
          <w:szCs w:val="32"/>
        </w:rPr>
        <w:t>0</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较</w:t>
      </w:r>
      <w:r>
        <w:rPr>
          <w:rFonts w:ascii="Times New Roman" w:hAnsi="Times New Roman" w:eastAsia="仿宋_GB2312"/>
          <w:kern w:val="2"/>
          <w:sz w:val="32"/>
          <w:szCs w:val="32"/>
        </w:rPr>
        <w:t>2022</w:t>
      </w:r>
      <w:r>
        <w:rPr>
          <w:rFonts w:ascii="Times New Roman" w:hAnsi="Times New Roman" w:eastAsia="仿宋_GB2312"/>
          <w:kern w:val="2"/>
          <w:sz w:val="32"/>
          <w:szCs w:val="32"/>
          <w:lang w:val="zh-CN"/>
        </w:rPr>
        <w:t>年度</w:t>
      </w:r>
      <w:r>
        <w:rPr>
          <w:rFonts w:hint="eastAsia" w:ascii="Times New Roman" w:hAnsi="Times New Roman" w:eastAsia="仿宋_GB2312"/>
          <w:kern w:val="2"/>
          <w:sz w:val="32"/>
          <w:szCs w:val="32"/>
        </w:rPr>
        <w:t>持平，</w:t>
      </w:r>
      <w:r>
        <w:rPr>
          <w:rFonts w:hint="eastAsia" w:ascii="仿宋_GB2312" w:hAnsi="Times New Roman" w:eastAsia="仿宋_GB2312" w:cs="Wingdings"/>
          <w:sz w:val="32"/>
          <w:szCs w:val="32"/>
          <w:highlight w:val="none"/>
          <w:lang w:eastAsia="zh-CN"/>
        </w:rPr>
        <w:t>无增减变化</w:t>
      </w:r>
      <w:r>
        <w:rPr>
          <w:rFonts w:hint="eastAsia" w:ascii="仿宋" w:hAnsi="仿宋" w:eastAsia="仿宋" w:cs="仿宋"/>
          <w:sz w:val="32"/>
          <w:szCs w:val="32"/>
          <w:rtl w:val="0"/>
        </w:rPr>
        <w:t>。</w:t>
      </w:r>
      <w:r>
        <w:rPr>
          <w:rFonts w:hint="eastAsia" w:ascii="仿宋_GB2312" w:hAnsi="仿宋_GB2312" w:eastAsia="仿宋_GB2312" w:cs="仿宋_GB2312"/>
          <w:sz w:val="32"/>
          <w:szCs w:val="32"/>
          <w:highlight w:val="none"/>
          <w:lang w:eastAsia="zh-CN"/>
        </w:rPr>
        <w:t>本单位为事业单位，无一般公共预算安排的机关运行经费支出。</w:t>
      </w:r>
    </w:p>
    <w:p>
      <w:pPr>
        <w:numPr>
          <w:ilvl w:val="0"/>
          <w:numId w:val="3"/>
        </w:numPr>
        <w:adjustRightInd w:val="0"/>
        <w:snapToGrid w:val="0"/>
        <w:spacing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政府采购支出说明</w:t>
      </w:r>
    </w:p>
    <w:p>
      <w:pPr>
        <w:numPr>
          <w:ilvl w:val="0"/>
          <w:numId w:val="0"/>
        </w:numPr>
        <w:adjustRightInd w:val="0"/>
        <w:snapToGrid w:val="0"/>
        <w:spacing w:line="580" w:lineRule="exact"/>
        <w:ind w:firstLine="640" w:firstLineChars="200"/>
        <w:rPr>
          <w:rFonts w:ascii="Times New Roman" w:hAnsi="Times New Roman" w:eastAsia="仿宋_GB2312"/>
          <w:sz w:val="32"/>
          <w:szCs w:val="32"/>
          <w:highlight w:val="yellow"/>
        </w:rPr>
      </w:pPr>
      <w:r>
        <w:rPr>
          <w:rFonts w:ascii="Times New Roman" w:hAnsi="Times New Roman" w:eastAsia="仿宋_GB2312"/>
          <w:kern w:val="2"/>
          <w:sz w:val="32"/>
          <w:szCs w:val="32"/>
        </w:rPr>
        <w:t>本单位2023</w:t>
      </w:r>
      <w:r>
        <w:rPr>
          <w:rFonts w:ascii="Times New Roman" w:hAnsi="Times New Roman" w:eastAsia="仿宋_GB2312"/>
          <w:kern w:val="2"/>
          <w:sz w:val="32"/>
          <w:szCs w:val="32"/>
          <w:lang w:val="zh-CN"/>
        </w:rPr>
        <w:t>年度政府采购支出总额</w:t>
      </w:r>
      <w:r>
        <w:rPr>
          <w:rFonts w:ascii="Times New Roman" w:hAnsi="Times New Roman" w:eastAsia="仿宋_GB2312"/>
          <w:kern w:val="2"/>
          <w:sz w:val="32"/>
          <w:szCs w:val="32"/>
        </w:rPr>
        <w:t>0</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从采购类型来看</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政府采购货物支出</w:t>
      </w:r>
      <w:r>
        <w:rPr>
          <w:rFonts w:ascii="Times New Roman" w:hAnsi="Times New Roman" w:eastAsia="仿宋_GB2312"/>
          <w:kern w:val="2"/>
          <w:sz w:val="32"/>
          <w:szCs w:val="32"/>
        </w:rPr>
        <w:t>0</w:t>
      </w:r>
      <w:r>
        <w:rPr>
          <w:rFonts w:ascii="Times New Roman" w:hAnsi="Times New Roman" w:eastAsia="仿宋_GB2312"/>
          <w:kern w:val="2"/>
          <w:sz w:val="32"/>
          <w:szCs w:val="32"/>
          <w:lang w:val="zh-CN"/>
        </w:rPr>
        <w:t>万元、政府采购工程支出</w:t>
      </w:r>
      <w:r>
        <w:rPr>
          <w:rFonts w:ascii="Times New Roman" w:hAnsi="Times New Roman" w:eastAsia="仿宋_GB2312"/>
          <w:kern w:val="2"/>
          <w:sz w:val="32"/>
          <w:szCs w:val="32"/>
        </w:rPr>
        <w:t>0</w:t>
      </w:r>
      <w:r>
        <w:rPr>
          <w:rFonts w:ascii="Times New Roman" w:hAnsi="Times New Roman" w:eastAsia="仿宋_GB2312"/>
          <w:kern w:val="2"/>
          <w:sz w:val="32"/>
          <w:szCs w:val="32"/>
          <w:lang w:val="zh-CN"/>
        </w:rPr>
        <w:t>万元、政府采购服务支出</w:t>
      </w:r>
      <w:r>
        <w:rPr>
          <w:rFonts w:ascii="Times New Roman" w:hAnsi="Times New Roman" w:eastAsia="仿宋_GB2312"/>
          <w:kern w:val="2"/>
          <w:sz w:val="32"/>
          <w:szCs w:val="32"/>
        </w:rPr>
        <w:t>0</w:t>
      </w:r>
      <w:r>
        <w:rPr>
          <w:rFonts w:ascii="Times New Roman" w:hAnsi="Times New Roman" w:eastAsia="仿宋_GB2312"/>
          <w:kern w:val="2"/>
          <w:sz w:val="32"/>
          <w:szCs w:val="32"/>
          <w:lang w:val="zh-CN"/>
        </w:rPr>
        <w:t>万元。授予中小企业</w:t>
      </w:r>
      <w:r>
        <w:rPr>
          <w:rFonts w:ascii="Times New Roman" w:hAnsi="Times New Roman" w:eastAsia="仿宋_GB2312"/>
          <w:kern w:val="2"/>
          <w:sz w:val="32"/>
          <w:szCs w:val="32"/>
        </w:rPr>
        <w:t>合同金额</w:t>
      </w:r>
      <w:r>
        <w:rPr>
          <w:rFonts w:ascii="Times New Roman" w:hAnsi="Times New Roman" w:eastAsia="仿宋_GB2312"/>
          <w:kern w:val="2"/>
          <w:sz w:val="32"/>
          <w:szCs w:val="32"/>
          <w:lang w:val="zh-CN"/>
        </w:rPr>
        <w:t>0万元，占政府采购支出总额的0%，其中授予小微企业合同金额0万元，占政府采购支出总额的0%。</w:t>
      </w:r>
    </w:p>
    <w:p>
      <w:pPr>
        <w:snapToGrid w:val="0"/>
        <w:spacing w:line="580" w:lineRule="exact"/>
        <w:ind w:firstLine="660" w:firstLineChars="200"/>
        <w:jc w:val="left"/>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八、</w:t>
      </w:r>
      <w:r>
        <w:rPr>
          <w:rFonts w:ascii="Times New Roman" w:hAnsi="Times New Roman" w:eastAsia="黑体" w:cs="Times New Roman"/>
          <w:sz w:val="32"/>
          <w:szCs w:val="32"/>
        </w:rPr>
        <w:t>国有资产占用情况说明</w:t>
      </w:r>
    </w:p>
    <w:p>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截至</w:t>
      </w:r>
      <w:r>
        <w:rPr>
          <w:rFonts w:ascii="Times New Roman" w:hAnsi="Times New Roman" w:eastAsia="仿宋_GB2312"/>
          <w:kern w:val="2"/>
          <w:sz w:val="32"/>
          <w:szCs w:val="32"/>
        </w:rPr>
        <w:t>2023</w:t>
      </w:r>
      <w:r>
        <w:rPr>
          <w:rFonts w:ascii="Times New Roman" w:hAnsi="Times New Roman" w:eastAsia="仿宋_GB2312"/>
          <w:kern w:val="2"/>
          <w:sz w:val="32"/>
          <w:szCs w:val="32"/>
          <w:lang w:val="zh-CN"/>
        </w:rPr>
        <w:t>年</w:t>
      </w:r>
      <w:r>
        <w:rPr>
          <w:rFonts w:ascii="Times New Roman" w:hAnsi="Times New Roman" w:eastAsia="仿宋_GB2312"/>
          <w:kern w:val="2"/>
          <w:sz w:val="32"/>
          <w:szCs w:val="32"/>
        </w:rPr>
        <w:t>12</w:t>
      </w:r>
      <w:r>
        <w:rPr>
          <w:rFonts w:ascii="Times New Roman" w:hAnsi="Times New Roman" w:eastAsia="仿宋_GB2312"/>
          <w:kern w:val="2"/>
          <w:sz w:val="32"/>
          <w:szCs w:val="32"/>
          <w:lang w:val="zh-CN"/>
        </w:rPr>
        <w:t>月</w:t>
      </w:r>
      <w:r>
        <w:rPr>
          <w:rFonts w:ascii="Times New Roman" w:hAnsi="Times New Roman" w:eastAsia="仿宋_GB2312"/>
          <w:kern w:val="2"/>
          <w:sz w:val="32"/>
          <w:szCs w:val="32"/>
        </w:rPr>
        <w:t>31</w:t>
      </w:r>
      <w:r>
        <w:rPr>
          <w:rFonts w:ascii="Times New Roman" w:hAnsi="Times New Roman" w:eastAsia="仿宋_GB2312"/>
          <w:kern w:val="2"/>
          <w:sz w:val="32"/>
          <w:szCs w:val="32"/>
          <w:lang w:val="zh-CN"/>
        </w:rPr>
        <w:t>日</w:t>
      </w:r>
      <w:r>
        <w:rPr>
          <w:rFonts w:ascii="Times New Roman" w:hAnsi="Times New Roman" w:eastAsia="仿宋_GB2312"/>
          <w:kern w:val="2"/>
          <w:sz w:val="32"/>
          <w:szCs w:val="32"/>
        </w:rPr>
        <w:t>，本单位</w:t>
      </w:r>
      <w:r>
        <w:rPr>
          <w:rFonts w:ascii="Times New Roman" w:hAnsi="Times New Roman" w:eastAsia="仿宋_GB2312"/>
          <w:kern w:val="2"/>
          <w:sz w:val="32"/>
          <w:szCs w:val="32"/>
          <w:lang w:val="zh-CN"/>
        </w:rPr>
        <w:t>共有车辆</w:t>
      </w:r>
      <w:r>
        <w:rPr>
          <w:rFonts w:ascii="Times New Roman" w:hAnsi="Times New Roman" w:eastAsia="仿宋_GB2312"/>
          <w:kern w:val="2"/>
          <w:sz w:val="32"/>
          <w:szCs w:val="32"/>
        </w:rPr>
        <w:t>0</w:t>
      </w:r>
      <w:r>
        <w:rPr>
          <w:rFonts w:ascii="Times New Roman" w:hAnsi="Times New Roman" w:eastAsia="仿宋_GB2312"/>
          <w:kern w:val="2"/>
          <w:sz w:val="32"/>
          <w:szCs w:val="32"/>
          <w:lang w:val="zh-CN"/>
        </w:rPr>
        <w:t>辆</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比上年</w:t>
      </w:r>
      <w:r>
        <w:rPr>
          <w:rFonts w:hint="eastAsia" w:ascii="Times New Roman" w:hAnsi="Times New Roman" w:eastAsia="仿宋_GB2312"/>
          <w:kern w:val="2"/>
          <w:sz w:val="32"/>
          <w:szCs w:val="32"/>
        </w:rPr>
        <w:t>持平</w:t>
      </w:r>
      <w:r>
        <w:rPr>
          <w:rFonts w:ascii="Times New Roman" w:hAnsi="Times New Roman" w:eastAsia="仿宋_GB2312"/>
          <w:kern w:val="2"/>
          <w:sz w:val="32"/>
          <w:szCs w:val="32"/>
          <w:lang w:val="zh-CN"/>
        </w:rPr>
        <w:t>辆</w:t>
      </w:r>
      <w:r>
        <w:rPr>
          <w:rFonts w:hint="eastAsia" w:ascii="Times New Roman" w:hAnsi="Times New Roman" w:eastAsia="仿宋_GB2312"/>
          <w:kern w:val="2"/>
          <w:sz w:val="32"/>
          <w:szCs w:val="32"/>
        </w:rPr>
        <w:t>，</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eastAsia="zh-CN"/>
        </w:rPr>
        <w:t>本单位无公务车</w:t>
      </w:r>
      <w:r>
        <w:rPr>
          <w:rFonts w:ascii="Times New Roman" w:hAnsi="Times New Roman" w:eastAsia="仿宋_GB2312"/>
          <w:kern w:val="2"/>
          <w:sz w:val="32"/>
          <w:szCs w:val="32"/>
          <w:lang w:val="zh-CN"/>
        </w:rPr>
        <w:t>。其中，副部（省）级及以上领导用车0辆，主要</w:t>
      </w:r>
      <w:r>
        <w:rPr>
          <w:rFonts w:ascii="Times New Roman" w:hAnsi="Times New Roman" w:eastAsia="仿宋_GB2312"/>
          <w:kern w:val="2"/>
          <w:sz w:val="32"/>
          <w:szCs w:val="32"/>
        </w:rPr>
        <w:t>负责人</w:t>
      </w:r>
      <w:r>
        <w:rPr>
          <w:rFonts w:ascii="Times New Roman" w:hAnsi="Times New Roman" w:eastAsia="仿宋_GB2312"/>
          <w:kern w:val="2"/>
          <w:sz w:val="32"/>
          <w:szCs w:val="32"/>
          <w:lang w:val="zh-CN"/>
        </w:rPr>
        <w:t>用车0辆，机要通信用车0辆，应急保障用车0辆，执法执勤用车0辆，特种专业技术用车0辆，离退休干部用车0辆，其他用车</w:t>
      </w:r>
      <w:r>
        <w:rPr>
          <w:rFonts w:hint="eastAsia" w:ascii="Times New Roman" w:hAnsi="Times New Roman" w:eastAsia="仿宋_GB2312"/>
          <w:kern w:val="2"/>
          <w:sz w:val="32"/>
          <w:szCs w:val="32"/>
          <w:lang w:val="en-US" w:eastAsia="zh-CN"/>
        </w:rPr>
        <w:t>0辆。</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val="zh-CN"/>
        </w:rPr>
        <w:t>本单位无公务车，</w:t>
      </w:r>
      <w:r>
        <w:rPr>
          <w:rFonts w:hint="eastAsia" w:ascii="仿宋_GB2312" w:hAnsi="仿宋_GB2312" w:eastAsia="仿宋_GB2312" w:cs="仿宋_GB2312"/>
          <w:sz w:val="32"/>
          <w:szCs w:val="32"/>
          <w:lang w:eastAsia="zh-CN"/>
        </w:rPr>
        <w:t>未新购置</w:t>
      </w:r>
      <w:r>
        <w:rPr>
          <w:rFonts w:ascii="Times New Roman" w:hAnsi="Times New Roman" w:eastAsia="仿宋_GB2312"/>
          <w:kern w:val="2"/>
          <w:sz w:val="32"/>
          <w:szCs w:val="32"/>
          <w:lang w:val="zh-CN"/>
        </w:rPr>
        <w:t>。单位价值100万元（含）以上设备（不含车辆）0台（套）。</w:t>
      </w:r>
    </w:p>
    <w:p>
      <w:pPr>
        <w:pStyle w:val="10"/>
        <w:widowControl/>
        <w:spacing w:beforeAutospacing="0" w:afterAutospacing="0"/>
        <w:ind w:firstLine="640" w:firstLineChars="200"/>
        <w:jc w:val="both"/>
        <w:outlineLvl w:val="1"/>
        <w:rPr>
          <w:rFonts w:ascii="Times New Roman" w:hAnsi="Times New Roman" w:eastAsia="黑体"/>
          <w:kern w:val="2"/>
          <w:sz w:val="32"/>
          <w:szCs w:val="40"/>
        </w:rPr>
      </w:pPr>
      <w:r>
        <w:rPr>
          <w:rFonts w:ascii="Times New Roman" w:hAnsi="Times New Roman" w:eastAsia="黑体"/>
          <w:kern w:val="2"/>
          <w:sz w:val="32"/>
          <w:szCs w:val="40"/>
        </w:rPr>
        <w:t>九、预算绩效情况说明</w:t>
      </w:r>
    </w:p>
    <w:p>
      <w:pPr>
        <w:adjustRightInd w:val="0"/>
        <w:snapToGrid w:val="0"/>
        <w:spacing w:line="580" w:lineRule="exact"/>
        <w:ind w:firstLine="642" w:firstLine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（一）预算绩效管理工作开展情况</w:t>
      </w:r>
    </w:p>
    <w:p>
      <w:pPr>
        <w:numPr>
          <w:ilvl w:val="0"/>
          <w:numId w:val="0"/>
        </w:numPr>
        <w:ind w:firstLine="640" w:firstLineChars="200"/>
        <w:rPr>
          <w:rFonts w:ascii="Times New Roman" w:hAnsi="Times New Roman" w:eastAsia="Arial"/>
        </w:rPr>
      </w:pPr>
      <w:r>
        <w:rPr>
          <w:rFonts w:hint="eastAsia" w:ascii="仿宋_GB2312" w:hAnsi="仿宋_GB2312" w:eastAsia="仿宋_GB2312" w:cs="仿宋_GB2312"/>
          <w:b w:val="0"/>
          <w:bCs w:val="0"/>
          <w:sz w:val="32"/>
          <w:szCs w:val="32"/>
          <w:rtl w:val="0"/>
          <w:lang w:val="en-US" w:eastAsia="zh-CN"/>
        </w:rPr>
        <w:t>根据预算绩效管理要求，本单位组织对2023年度项目支出全面开展绩效自评，其中，一般公共预算项目</w:t>
      </w:r>
      <w:r>
        <w:rPr>
          <w:rFonts w:hint="eastAsia" w:ascii="仿宋_GB2312" w:hAnsi="仿宋_GB2312" w:eastAsia="仿宋_GB2312" w:cs="仿宋_GB2312"/>
          <w:b w:val="0"/>
          <w:bCs w:val="0"/>
          <w:sz w:val="32"/>
          <w:szCs w:val="32"/>
          <w:highlight w:val="none"/>
          <w:rtl w:val="0"/>
          <w:lang w:val="en-US" w:eastAsia="zh-CN"/>
        </w:rPr>
        <w:t xml:space="preserve"> 0</w:t>
      </w:r>
      <w:r>
        <w:rPr>
          <w:rFonts w:hint="eastAsia" w:ascii="仿宋_GB2312" w:hAnsi="仿宋_GB2312" w:eastAsia="仿宋_GB2312" w:cs="仿宋_GB2312"/>
          <w:b w:val="0"/>
          <w:bCs w:val="0"/>
          <w:sz w:val="32"/>
          <w:szCs w:val="32"/>
          <w:rtl w:val="0"/>
          <w:lang w:val="en-US" w:eastAsia="zh-CN"/>
        </w:rPr>
        <w:t>个，共涉及资金</w:t>
      </w:r>
      <w:r>
        <w:rPr>
          <w:rFonts w:hint="eastAsia" w:ascii="仿宋_GB2312" w:hAnsi="仿宋_GB2312" w:eastAsia="仿宋_GB2312" w:cs="仿宋_GB2312"/>
          <w:b w:val="0"/>
          <w:bCs w:val="0"/>
          <w:sz w:val="32"/>
          <w:szCs w:val="32"/>
          <w:highlight w:val="none"/>
          <w:rtl w:val="0"/>
          <w:lang w:val="en-US" w:eastAsia="zh-CN"/>
        </w:rPr>
        <w:t>0</w:t>
      </w:r>
      <w:r>
        <w:rPr>
          <w:rFonts w:hint="eastAsia" w:ascii="仿宋_GB2312" w:hAnsi="仿宋_GB2312" w:eastAsia="仿宋_GB2312" w:cs="仿宋_GB2312"/>
          <w:b w:val="0"/>
          <w:bCs w:val="0"/>
          <w:sz w:val="32"/>
          <w:szCs w:val="32"/>
          <w:rtl w:val="0"/>
          <w:lang w:val="en-US" w:eastAsia="zh-CN"/>
        </w:rPr>
        <w:t>万元，占一般公共预算项目支出总额的100%。</w:t>
      </w:r>
    </w:p>
    <w:p>
      <w:pPr>
        <w:adjustRightInd w:val="0"/>
        <w:snapToGrid w:val="0"/>
        <w:spacing w:line="580" w:lineRule="exact"/>
        <w:ind w:firstLine="642" w:firstLine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（二）部门决算中项目绩效自评结果</w:t>
      </w:r>
    </w:p>
    <w:p>
      <w:pPr>
        <w:numPr>
          <w:ilvl w:val="0"/>
          <w:numId w:val="0"/>
        </w:num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在今年</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决算公开中</w:t>
      </w:r>
      <w:r>
        <w:rPr>
          <w:rFonts w:hint="eastAsia" w:ascii="仿宋_GB2312" w:hAnsi="仿宋_GB2312" w:eastAsia="仿宋_GB2312" w:cs="仿宋_GB2312"/>
          <w:sz w:val="32"/>
          <w:szCs w:val="32"/>
          <w:lang w:eastAsia="zh-CN"/>
        </w:rPr>
        <w:t>反映</w:t>
      </w:r>
      <w:r>
        <w:rPr>
          <w:rFonts w:hint="eastAsia" w:ascii="仿宋_GB2312" w:hAnsi="仿宋_GB2312" w:eastAsia="仿宋_GB2312" w:cs="仿宋_GB2312"/>
          <w:sz w:val="32"/>
          <w:szCs w:val="32"/>
          <w:lang w:val="en-US" w:eastAsia="zh-CN"/>
        </w:rPr>
        <w:t>0个</w:t>
      </w:r>
      <w:r>
        <w:rPr>
          <w:rFonts w:hint="eastAsia" w:ascii="仿宋_GB2312" w:hAnsi="仿宋_GB2312" w:eastAsia="仿宋_GB2312" w:cs="仿宋_GB2312"/>
          <w:sz w:val="32"/>
          <w:szCs w:val="32"/>
          <w:lang w:eastAsia="zh-CN"/>
        </w:rPr>
        <w:t>项目及</w:t>
      </w:r>
      <w:r>
        <w:rPr>
          <w:rFonts w:hint="eastAsia" w:ascii="仿宋_GB2312" w:hAnsi="仿宋_GB2312" w:eastAsia="仿宋_GB2312" w:cs="仿宋_GB2312"/>
          <w:sz w:val="32"/>
          <w:szCs w:val="32"/>
          <w:lang w:val="en-US" w:eastAsia="zh-CN"/>
        </w:rPr>
        <w:t>0个项目</w:t>
      </w:r>
      <w:r>
        <w:rPr>
          <w:rFonts w:hint="eastAsia" w:ascii="仿宋_GB2312" w:hAnsi="仿宋_GB2312" w:eastAsia="仿宋_GB2312" w:cs="仿宋_GB2312"/>
          <w:sz w:val="32"/>
          <w:szCs w:val="32"/>
          <w:lang w:eastAsia="zh-CN"/>
        </w:rPr>
        <w:t>绩效自评结果。</w:t>
      </w:r>
    </w:p>
    <w:p>
      <w:pPr>
        <w:numPr>
          <w:ilvl w:val="0"/>
          <w:numId w:val="4"/>
        </w:numPr>
        <w:adjustRightInd w:val="0"/>
        <w:snapToGrid w:val="0"/>
        <w:spacing w:line="580" w:lineRule="exact"/>
        <w:ind w:left="480" w:leftChars="200" w:firstLine="321" w:firstLineChars="1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部门评价项目绩效评价结果</w:t>
      </w:r>
    </w:p>
    <w:p>
      <w:pPr>
        <w:numPr>
          <w:ilvl w:val="0"/>
          <w:numId w:val="0"/>
        </w:numPr>
        <w:adjustRightInd w:val="0"/>
        <w:snapToGrid w:val="0"/>
        <w:spacing w:line="580" w:lineRule="exact"/>
        <w:ind w:leftChars="300"/>
        <w:rPr>
          <w:rFonts w:ascii="Times New Roman" w:hAnsi="Times New Roman" w:eastAsia="仿宋_GB2312" w:cs="Times New Roman"/>
          <w:b/>
          <w:bCs/>
          <w:sz w:val="32"/>
          <w:szCs w:val="32"/>
        </w:rPr>
      </w:pPr>
      <w:r>
        <w:rPr>
          <w:rFonts w:hint="eastAsia" w:ascii="仿宋_GB2312" w:hAnsi="仿宋_GB2312" w:eastAsia="仿宋_GB2312" w:cs="仿宋_GB2312"/>
          <w:b w:val="0"/>
          <w:bCs w:val="0"/>
          <w:sz w:val="32"/>
          <w:szCs w:val="32"/>
          <w:lang w:val="en-US" w:eastAsia="zh-CN"/>
        </w:rPr>
        <w:t>本单位本年度无财政评价项目。</w:t>
      </w:r>
    </w:p>
    <w:p>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 xml:space="preserve">1. </w:t>
      </w: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lang w:val="en-US" w:eastAsia="zh-CN"/>
        </w:rPr>
        <w:t>2023</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tl w:val="0"/>
        </w:rPr>
        <w:t>政府性基金预算财政拨款</w:t>
      </w:r>
      <w:r>
        <w:rPr>
          <w:rFonts w:hint="eastAsia" w:ascii="仿宋_GB2312" w:hAnsi="仿宋_GB2312" w:eastAsia="仿宋_GB2312" w:cs="仿宋_GB2312"/>
          <w:sz w:val="32"/>
          <w:szCs w:val="32"/>
        </w:rPr>
        <w:t>收支及结转结余情况</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tl w:val="0"/>
          <w:lang w:eastAsia="zh-CN"/>
        </w:rPr>
        <w:t>无</w:t>
      </w:r>
      <w:r>
        <w:rPr>
          <w:rFonts w:hint="eastAsia" w:ascii="仿宋_GB2312" w:hAnsi="仿宋_GB2312" w:eastAsia="仿宋_GB2312" w:cs="仿宋_GB2312"/>
          <w:sz w:val="32"/>
          <w:szCs w:val="32"/>
          <w:rtl w:val="0"/>
        </w:rPr>
        <w:t>国有资</w:t>
      </w:r>
      <w:r>
        <w:rPr>
          <w:rFonts w:hint="eastAsia" w:ascii="仿宋_GB2312" w:hAnsi="仿宋_GB2312" w:eastAsia="仿宋_GB2312" w:cs="仿宋_GB2312"/>
          <w:sz w:val="32"/>
          <w:szCs w:val="32"/>
          <w:rtl w:val="0"/>
          <w:lang w:eastAsia="zh-CN"/>
        </w:rPr>
        <w:t>本</w:t>
      </w:r>
      <w:r>
        <w:rPr>
          <w:rFonts w:hint="eastAsia" w:ascii="仿宋_GB2312" w:hAnsi="仿宋_GB2312" w:eastAsia="仿宋_GB2312" w:cs="仿宋_GB2312"/>
          <w:sz w:val="32"/>
          <w:szCs w:val="32"/>
          <w:rtl w:val="0"/>
        </w:rPr>
        <w:t>经营预算财政拨款</w:t>
      </w:r>
      <w:r>
        <w:rPr>
          <w:rFonts w:hint="eastAsia" w:ascii="仿宋_GB2312" w:hAnsi="仿宋_GB2312" w:eastAsia="仿宋_GB2312" w:cs="仿宋_GB2312"/>
          <w:sz w:val="32"/>
          <w:szCs w:val="32"/>
        </w:rPr>
        <w:t>收支及结转结余情况，故</w:t>
      </w:r>
      <w:r>
        <w:rPr>
          <w:rFonts w:hint="eastAsia" w:ascii="仿宋_GB2312" w:hAnsi="仿宋_GB2312" w:eastAsia="仿宋_GB2312" w:cs="仿宋_GB2312"/>
          <w:sz w:val="32"/>
          <w:szCs w:val="32"/>
          <w:rtl w:val="0"/>
        </w:rPr>
        <w:t>政府性基金预算财政拨款收入支出决算表、国有资</w:t>
      </w:r>
      <w:r>
        <w:rPr>
          <w:rFonts w:hint="eastAsia" w:ascii="仿宋_GB2312" w:hAnsi="仿宋_GB2312" w:eastAsia="仿宋_GB2312" w:cs="仿宋_GB2312"/>
          <w:sz w:val="32"/>
          <w:szCs w:val="32"/>
          <w:rtl w:val="0"/>
          <w:lang w:eastAsia="zh-CN"/>
        </w:rPr>
        <w:t>本</w:t>
      </w:r>
      <w:r>
        <w:rPr>
          <w:rFonts w:hint="eastAsia" w:ascii="仿宋_GB2312" w:hAnsi="仿宋_GB2312" w:eastAsia="仿宋_GB2312" w:cs="仿宋_GB2312"/>
          <w:sz w:val="32"/>
          <w:szCs w:val="32"/>
          <w:rtl w:val="0"/>
        </w:rPr>
        <w:t>经营预算财政拨款支出决算表</w:t>
      </w:r>
      <w:r>
        <w:rPr>
          <w:rFonts w:hint="eastAsia" w:ascii="仿宋_GB2312" w:hAnsi="仿宋_GB2312" w:eastAsia="仿宋_GB2312" w:cs="仿宋_GB2312"/>
          <w:sz w:val="32"/>
          <w:szCs w:val="32"/>
        </w:rPr>
        <w:t>以空表列示。</w:t>
      </w:r>
    </w:p>
    <w:p>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pPr>
        <w:adjustRightInd w:val="0"/>
        <w:snapToGrid w:val="0"/>
        <w:spacing w:line="580" w:lineRule="exact"/>
        <w:ind w:firstLine="640" w:firstLineChars="200"/>
        <w:rPr>
          <w:rFonts w:ascii="Times New Roman" w:hAnsi="Times New Roman" w:eastAsia="仿宋_GB2312" w:cs="Times New Roman"/>
          <w:sz w:val="32"/>
          <w:szCs w:val="32"/>
        </w:rPr>
      </w:pPr>
    </w:p>
    <w:p>
      <w:pPr>
        <w:widowControl/>
        <w:spacing w:line="580" w:lineRule="exact"/>
        <w:ind w:firstLine="883" w:firstLineChars="200"/>
        <w:jc w:val="left"/>
        <w:rPr>
          <w:rFonts w:ascii="Times New Roman" w:hAnsi="Times New Roman" w:eastAsia="宋体" w:cs="Times New Roman"/>
          <w:b/>
          <w:bCs/>
          <w:sz w:val="44"/>
          <w:szCs w:val="44"/>
        </w:rPr>
      </w:pPr>
    </w:p>
    <w:p>
      <w:pPr>
        <w:rPr>
          <w:rFonts w:ascii="Times New Roman" w:hAnsi="Times New Roman" w:eastAsia="仿宋_GB2312" w:cs="Times New Roman"/>
          <w:sz w:val="32"/>
          <w:szCs w:val="32"/>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spacing w:line="580" w:lineRule="exact"/>
        <w:ind w:firstLine="642"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一、</w:t>
      </w:r>
      <w:r>
        <w:rPr>
          <w:rFonts w:ascii="Times New Roman" w:hAnsi="Times New Roman" w:eastAsia="仿宋_GB2312" w:cs="Times New Roman"/>
          <w:b/>
          <w:bCs/>
          <w:color w:val="000000"/>
          <w:sz w:val="32"/>
          <w:szCs w:val="32"/>
        </w:rPr>
        <w:t>财政拨款收入：</w:t>
      </w:r>
      <w:r>
        <w:rPr>
          <w:rFonts w:ascii="Times New Roman" w:hAnsi="Times New Roman" w:eastAsia="仿宋_GB2312" w:cs="Times New Roman"/>
          <w:bCs/>
          <w:color w:val="000000"/>
          <w:sz w:val="32"/>
          <w:szCs w:val="32"/>
        </w:rPr>
        <w:t>指单位从同级财政部门取得的财政预算资金。</w:t>
      </w:r>
    </w:p>
    <w:p>
      <w:pPr>
        <w:spacing w:line="580" w:lineRule="exact"/>
        <w:ind w:firstLine="642"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二、</w:t>
      </w:r>
      <w:r>
        <w:rPr>
          <w:rFonts w:ascii="Times New Roman" w:hAnsi="Times New Roman" w:eastAsia="仿宋_GB2312" w:cs="Times New Roman"/>
          <w:b/>
          <w:bCs/>
          <w:color w:val="000000"/>
          <w:sz w:val="32"/>
          <w:szCs w:val="32"/>
        </w:rPr>
        <w:t>事业收入：</w:t>
      </w:r>
      <w:r>
        <w:rPr>
          <w:rFonts w:ascii="Times New Roman" w:hAnsi="Times New Roman" w:eastAsia="仿宋_GB2312" w:cs="Times New Roman"/>
          <w:bCs/>
          <w:color w:val="000000"/>
          <w:sz w:val="32"/>
          <w:szCs w:val="32"/>
        </w:rPr>
        <w:t>指事业单位开展专业业务活动及辅助活动取得的收入。</w:t>
      </w:r>
    </w:p>
    <w:p>
      <w:pPr>
        <w:spacing w:line="580" w:lineRule="exact"/>
        <w:ind w:firstLine="642"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三、</w:t>
      </w:r>
      <w:r>
        <w:rPr>
          <w:rFonts w:ascii="Times New Roman" w:hAnsi="Times New Roman" w:eastAsia="仿宋_GB2312" w:cs="Times New Roman"/>
          <w:b/>
          <w:bCs/>
          <w:color w:val="000000"/>
          <w:sz w:val="32"/>
          <w:szCs w:val="32"/>
        </w:rPr>
        <w:t>经营收入：</w:t>
      </w:r>
      <w:r>
        <w:rPr>
          <w:rFonts w:ascii="Times New Roman" w:hAnsi="Times New Roman" w:eastAsia="仿宋_GB2312" w:cs="Times New Roman"/>
          <w:bCs/>
          <w:color w:val="000000"/>
          <w:sz w:val="32"/>
          <w:szCs w:val="32"/>
        </w:rPr>
        <w:t>指事业单位在专业业务活动及其辅助活动之外开展非独立核算经营活动取得的收入。</w:t>
      </w:r>
    </w:p>
    <w:p>
      <w:pPr>
        <w:spacing w:line="580" w:lineRule="exact"/>
        <w:ind w:firstLine="642"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四、</w:t>
      </w:r>
      <w:r>
        <w:rPr>
          <w:rFonts w:ascii="Times New Roman" w:hAnsi="Times New Roman" w:eastAsia="仿宋_GB2312" w:cs="Times New Roman"/>
          <w:b/>
          <w:bCs/>
          <w:color w:val="000000"/>
          <w:sz w:val="32"/>
          <w:szCs w:val="32"/>
        </w:rPr>
        <w:t>其他收入：</w:t>
      </w:r>
      <w:r>
        <w:rPr>
          <w:rFonts w:ascii="Times New Roman" w:hAnsi="Times New Roman" w:eastAsia="仿宋_GB2312" w:cs="Times New Roman"/>
          <w:bCs/>
          <w:color w:val="000000"/>
          <w:sz w:val="32"/>
          <w:szCs w:val="32"/>
        </w:rPr>
        <w:t>指单位取得的除上述收入以外的各项收</w:t>
      </w:r>
    </w:p>
    <w:p>
      <w:pPr>
        <w:spacing w:line="580" w:lineRule="exact"/>
        <w:rPr>
          <w:rFonts w:ascii="Times New Roman" w:hAnsi="Times New Roman" w:eastAsia="仿宋_GB2312" w:cs="Times New Roman"/>
          <w:b/>
          <w:bCs/>
          <w:color w:val="000000"/>
          <w:sz w:val="32"/>
          <w:szCs w:val="32"/>
        </w:rPr>
      </w:pPr>
      <w:r>
        <w:rPr>
          <w:rFonts w:ascii="Times New Roman" w:hAnsi="Times New Roman" w:eastAsia="仿宋_GB2312" w:cs="Times New Roman"/>
          <w:bCs/>
          <w:color w:val="000000"/>
          <w:sz w:val="32"/>
          <w:szCs w:val="32"/>
        </w:rPr>
        <w:t>入。主要是事业单位固定资产出租收入、存款利息收入等。</w:t>
      </w:r>
    </w:p>
    <w:p>
      <w:pPr>
        <w:spacing w:line="580" w:lineRule="exact"/>
        <w:ind w:firstLine="642"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五、</w:t>
      </w:r>
      <w:r>
        <w:rPr>
          <w:rFonts w:ascii="Times New Roman" w:hAnsi="Times New Roman" w:eastAsia="仿宋_GB2312" w:cs="Times New Roman"/>
          <w:b/>
          <w:bCs/>
          <w:color w:val="000000"/>
          <w:sz w:val="32"/>
          <w:szCs w:val="32"/>
        </w:rPr>
        <w:t>使用非财政拨款结余（含专用结余）：</w:t>
      </w:r>
      <w:r>
        <w:rPr>
          <w:rFonts w:ascii="Times New Roman" w:hAnsi="Times New Roman" w:eastAsia="仿宋_GB2312" w:cs="Times New Roman"/>
          <w:bCs/>
          <w:color w:val="000000"/>
          <w:sz w:val="32"/>
          <w:szCs w:val="32"/>
        </w:rPr>
        <w:t>指事业单位按照预算管理要求使用非财政拨款结余弥补收支差额的金额，以及使用专用结余安排支出的金额。</w:t>
      </w:r>
    </w:p>
    <w:p>
      <w:pPr>
        <w:spacing w:line="580" w:lineRule="exact"/>
        <w:ind w:firstLine="642"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六、</w:t>
      </w:r>
      <w:r>
        <w:rPr>
          <w:rFonts w:ascii="Times New Roman" w:hAnsi="Times New Roman" w:eastAsia="仿宋_GB2312" w:cs="Times New Roman"/>
          <w:b/>
          <w:bCs/>
          <w:color w:val="000000"/>
          <w:sz w:val="32"/>
          <w:szCs w:val="32"/>
        </w:rPr>
        <w:t>年初结转和结余：</w:t>
      </w:r>
      <w:r>
        <w:rPr>
          <w:rFonts w:ascii="Times New Roman" w:hAnsi="Times New Roman" w:eastAsia="仿宋_GB2312" w:cs="Times New Roman"/>
          <w:bCs/>
          <w:color w:val="000000"/>
          <w:sz w:val="32"/>
          <w:szCs w:val="32"/>
        </w:rPr>
        <w:t>指单位以前年度尚未完成、结转到本年仍按原规定用途继续使用的资金，或项目已完成等产生的结余资金。</w:t>
      </w:r>
    </w:p>
    <w:p>
      <w:pPr>
        <w:spacing w:line="580" w:lineRule="exact"/>
        <w:ind w:firstLine="642"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七、</w:t>
      </w:r>
      <w:r>
        <w:rPr>
          <w:rFonts w:ascii="Times New Roman" w:hAnsi="Times New Roman" w:eastAsia="仿宋_GB2312" w:cs="Times New Roman"/>
          <w:b/>
          <w:bCs/>
          <w:color w:val="000000"/>
          <w:sz w:val="32"/>
          <w:szCs w:val="32"/>
        </w:rPr>
        <w:t>结余分配：</w:t>
      </w:r>
      <w:r>
        <w:rPr>
          <w:rFonts w:ascii="Times New Roman" w:hAnsi="Times New Roman" w:eastAsia="仿宋_GB2312" w:cs="Times New Roman"/>
          <w:bCs/>
          <w:color w:val="000000"/>
          <w:sz w:val="32"/>
          <w:szCs w:val="32"/>
        </w:rPr>
        <w:t>指事业单位按照会计制度规定缴纳的所得税、提取的专用结余以及转入非财政拨款结余的金额等。</w:t>
      </w:r>
    </w:p>
    <w:p>
      <w:pPr>
        <w:spacing w:line="580" w:lineRule="exact"/>
        <w:ind w:firstLine="642"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八、</w:t>
      </w:r>
      <w:r>
        <w:rPr>
          <w:rFonts w:ascii="Times New Roman" w:hAnsi="Times New Roman" w:eastAsia="仿宋_GB2312" w:cs="Times New Roman"/>
          <w:b/>
          <w:bCs/>
          <w:color w:val="000000"/>
          <w:sz w:val="32"/>
          <w:szCs w:val="32"/>
        </w:rPr>
        <w:t>年末结转和结余：</w:t>
      </w:r>
      <w:r>
        <w:rPr>
          <w:rFonts w:ascii="Times New Roman" w:hAnsi="Times New Roman" w:eastAsia="仿宋_GB2312" w:cs="Times New Roman"/>
          <w:bCs/>
          <w:color w:val="000000"/>
          <w:sz w:val="32"/>
          <w:szCs w:val="32"/>
        </w:rPr>
        <w:t>指单位按有关规定结转到下年或以后年度继续使用的资金，或项目已完成等产生的结余资金。</w:t>
      </w:r>
    </w:p>
    <w:p>
      <w:pPr>
        <w:spacing w:line="580" w:lineRule="exact"/>
        <w:ind w:firstLine="642"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九、</w:t>
      </w:r>
      <w:r>
        <w:rPr>
          <w:rFonts w:ascii="Times New Roman" w:hAnsi="Times New Roman" w:eastAsia="仿宋_GB2312" w:cs="Times New Roman"/>
          <w:b/>
          <w:bCs/>
          <w:color w:val="000000"/>
          <w:sz w:val="32"/>
          <w:szCs w:val="32"/>
        </w:rPr>
        <w:t>基本支出：</w:t>
      </w:r>
      <w:r>
        <w:rPr>
          <w:rFonts w:ascii="Times New Roman" w:hAnsi="Times New Roman" w:eastAsia="仿宋_GB2312" w:cs="Times New Roman"/>
          <w:bCs/>
          <w:color w:val="000000"/>
          <w:sz w:val="32"/>
          <w:szCs w:val="32"/>
        </w:rPr>
        <w:t>指为保障机构正常运转、完成日常工作任务而发生的人员支出和公用支出。</w:t>
      </w:r>
    </w:p>
    <w:p>
      <w:pPr>
        <w:widowControl/>
        <w:spacing w:line="560" w:lineRule="exact"/>
        <w:ind w:firstLine="642"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w:t>
      </w:r>
      <w:r>
        <w:rPr>
          <w:rFonts w:ascii="Times New Roman" w:hAnsi="Times New Roman" w:eastAsia="仿宋_GB2312" w:cs="Times New Roman"/>
          <w:b/>
          <w:bCs/>
          <w:color w:val="000000"/>
          <w:sz w:val="32"/>
          <w:szCs w:val="32"/>
        </w:rPr>
        <w:t>项目支出：</w:t>
      </w:r>
      <w:r>
        <w:rPr>
          <w:rFonts w:ascii="Times New Roman" w:hAnsi="Times New Roman" w:eastAsia="仿宋_GB2312" w:cs="Times New Roman"/>
          <w:color w:val="000000"/>
          <w:sz w:val="32"/>
          <w:szCs w:val="32"/>
        </w:rPr>
        <w:t>指在基本支出之外为完成特定行政任务和事业发展目标所发生的支出。</w:t>
      </w:r>
    </w:p>
    <w:p>
      <w:pPr>
        <w:widowControl/>
        <w:spacing w:line="560" w:lineRule="exact"/>
        <w:ind w:firstLine="642"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十一、</w:t>
      </w:r>
      <w:r>
        <w:rPr>
          <w:rFonts w:ascii="Times New Roman" w:hAnsi="Times New Roman" w:eastAsia="仿宋_GB2312" w:cs="Times New Roman"/>
          <w:b/>
          <w:bCs/>
          <w:color w:val="000000"/>
          <w:sz w:val="32"/>
          <w:szCs w:val="32"/>
        </w:rPr>
        <w:t>经营支出 ：</w:t>
      </w:r>
      <w:r>
        <w:rPr>
          <w:rFonts w:ascii="Times New Roman" w:hAnsi="Times New Roman" w:eastAsia="仿宋_GB2312" w:cs="Times New Roman"/>
          <w:color w:val="000000"/>
          <w:sz w:val="32"/>
          <w:szCs w:val="32"/>
        </w:rPr>
        <w:t>指事业单位在专业业务活动及其辅助活动之外开展非独立核算经营活动发生的支出。</w:t>
      </w:r>
    </w:p>
    <w:p>
      <w:pPr>
        <w:widowControl/>
        <w:spacing w:line="560" w:lineRule="exact"/>
        <w:ind w:firstLine="642"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十二、</w:t>
      </w:r>
      <w:r>
        <w:rPr>
          <w:rFonts w:ascii="Times New Roman" w:hAnsi="Times New Roman" w:eastAsia="仿宋_GB2312" w:cs="Times New Roman"/>
          <w:b/>
          <w:bCs/>
          <w:color w:val="000000"/>
          <w:sz w:val="32"/>
          <w:szCs w:val="32"/>
        </w:rPr>
        <w:t>基本建设支出：</w:t>
      </w:r>
      <w:r>
        <w:rPr>
          <w:rFonts w:ascii="Times New Roman" w:hAnsi="Times New Roman" w:eastAsia="仿宋_GB2312" w:cs="Times New Roman"/>
          <w:color w:val="00000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2" w:firstLineChars="200"/>
        <w:rPr>
          <w:rFonts w:ascii="Times New Roman" w:hAnsi="Times New Roman" w:eastAsia="仿宋_GB2312" w:cs="Times New Roman"/>
          <w:b/>
          <w:bCs/>
          <w:color w:val="000000"/>
          <w:sz w:val="32"/>
          <w:szCs w:val="32"/>
        </w:rPr>
      </w:pPr>
      <w:r>
        <w:rPr>
          <w:rFonts w:hint="eastAsia" w:ascii="Times New Roman" w:hAnsi="Times New Roman" w:eastAsia="仿宋_GB2312" w:cs="Times New Roman"/>
          <w:b/>
          <w:bCs/>
          <w:color w:val="000000"/>
          <w:sz w:val="32"/>
          <w:szCs w:val="32"/>
        </w:rPr>
        <w:t>十三、</w:t>
      </w:r>
      <w:r>
        <w:rPr>
          <w:rFonts w:ascii="Times New Roman" w:hAnsi="Times New Roman" w:eastAsia="仿宋_GB2312" w:cs="Times New Roman"/>
          <w:b/>
          <w:bCs/>
          <w:color w:val="000000"/>
          <w:sz w:val="32"/>
          <w:szCs w:val="32"/>
        </w:rPr>
        <w:t>其他资本性支出：</w:t>
      </w:r>
      <w:r>
        <w:rPr>
          <w:rFonts w:ascii="Times New Roman" w:hAnsi="Times New Roman" w:eastAsia="仿宋_GB2312" w:cs="Times New Roman"/>
          <w:color w:val="00000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2"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十四、</w:t>
      </w:r>
      <w:r>
        <w:rPr>
          <w:rFonts w:ascii="Times New Roman" w:hAnsi="Times New Roman" w:eastAsia="仿宋_GB2312" w:cs="Times New Roman"/>
          <w:b/>
          <w:bCs/>
          <w:color w:val="000000"/>
          <w:sz w:val="32"/>
          <w:szCs w:val="32"/>
        </w:rPr>
        <w:t>“三公”经费：</w:t>
      </w:r>
      <w:r>
        <w:rPr>
          <w:rFonts w:ascii="Times New Roman" w:hAnsi="Times New Roman" w:eastAsia="仿宋_GB2312" w:cs="Times New Roman"/>
          <w:color w:val="00000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2"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十五、</w:t>
      </w:r>
      <w:r>
        <w:rPr>
          <w:rFonts w:ascii="Times New Roman" w:hAnsi="Times New Roman" w:eastAsia="仿宋_GB2312" w:cs="Times New Roman"/>
          <w:b/>
          <w:bCs/>
          <w:color w:val="000000"/>
          <w:sz w:val="32"/>
          <w:szCs w:val="32"/>
        </w:rPr>
        <w:t>其他交通费用：</w:t>
      </w:r>
      <w:r>
        <w:rPr>
          <w:rFonts w:ascii="Times New Roman" w:hAnsi="Times New Roman" w:eastAsia="仿宋_GB2312" w:cs="Times New Roman"/>
          <w:color w:val="000000"/>
          <w:sz w:val="32"/>
          <w:szCs w:val="32"/>
        </w:rPr>
        <w:t>填列单位除公务用车运行维护费以外的其他交通费用。如公务交通补贴、租车费用、出租车费用，飞机、船舶等燃料费、维修费、保险费等。</w:t>
      </w:r>
    </w:p>
    <w:p>
      <w:pPr>
        <w:widowControl/>
        <w:spacing w:line="560" w:lineRule="exact"/>
        <w:ind w:firstLine="642"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十六、</w:t>
      </w:r>
      <w:r>
        <w:rPr>
          <w:rFonts w:ascii="Times New Roman" w:hAnsi="Times New Roman" w:eastAsia="仿宋_GB2312" w:cs="Times New Roman"/>
          <w:b/>
          <w:bCs/>
          <w:color w:val="000000"/>
          <w:sz w:val="32"/>
          <w:szCs w:val="32"/>
        </w:rPr>
        <w:t>公务用车购置：</w:t>
      </w:r>
      <w:r>
        <w:rPr>
          <w:rFonts w:ascii="Times New Roman" w:hAnsi="Times New Roman" w:eastAsia="仿宋_GB2312" w:cs="Times New Roman"/>
          <w:color w:val="000000"/>
          <w:sz w:val="32"/>
          <w:szCs w:val="32"/>
        </w:rPr>
        <w:t>填列单位公务用车车辆购置支出（含车辆购置税、牌照费）。</w:t>
      </w:r>
    </w:p>
    <w:p>
      <w:pPr>
        <w:widowControl/>
        <w:spacing w:line="560" w:lineRule="exact"/>
        <w:ind w:firstLine="642"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十七、</w:t>
      </w:r>
      <w:r>
        <w:rPr>
          <w:rFonts w:ascii="Times New Roman" w:hAnsi="Times New Roman" w:eastAsia="仿宋_GB2312" w:cs="Times New Roman"/>
          <w:b/>
          <w:bCs/>
          <w:color w:val="000000"/>
          <w:sz w:val="32"/>
          <w:szCs w:val="32"/>
        </w:rPr>
        <w:t>其他交通工具购置：</w:t>
      </w:r>
      <w:r>
        <w:rPr>
          <w:rFonts w:ascii="Times New Roman" w:hAnsi="Times New Roman" w:eastAsia="仿宋_GB2312" w:cs="Times New Roman"/>
          <w:color w:val="000000"/>
          <w:sz w:val="32"/>
          <w:szCs w:val="32"/>
        </w:rPr>
        <w:t>填列单位除公务用车外的其他各类交通工具（如船舶、飞机等）购置支出（含车辆购置税、牌照费）。</w:t>
      </w:r>
    </w:p>
    <w:p>
      <w:pPr>
        <w:widowControl/>
        <w:spacing w:line="560" w:lineRule="exact"/>
        <w:ind w:firstLine="642" w:firstLineChars="200"/>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sz w:val="32"/>
          <w:szCs w:val="32"/>
        </w:rPr>
        <w:t>十八、机关运行经费：</w:t>
      </w:r>
      <w:r>
        <w:rPr>
          <w:rFonts w:ascii="Times New Roman" w:hAnsi="Times New Roman" w:eastAsia="仿宋_GB2312" w:cs="Times New Roman"/>
          <w:color w:val="00000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2" w:firstLineChars="200"/>
        <w:jc w:val="left"/>
        <w:rPr>
          <w:rFonts w:ascii="Times New Roman" w:hAnsi="Times New Roman" w:eastAsia="仿宋_GB2312" w:cs="Times New Roman"/>
          <w:sz w:val="32"/>
          <w:szCs w:val="32"/>
        </w:rPr>
      </w:pPr>
      <w:r>
        <w:rPr>
          <w:rFonts w:ascii="Times New Roman" w:hAnsi="Times New Roman" w:eastAsia="仿宋_GB2312" w:cs="Times New Roman"/>
          <w:b/>
          <w:bCs/>
          <w:color w:val="000000"/>
          <w:sz w:val="32"/>
          <w:szCs w:val="32"/>
        </w:rPr>
        <w:t>十九、经费形式:</w:t>
      </w:r>
      <w:r>
        <w:rPr>
          <w:rFonts w:ascii="Times New Roman" w:hAnsi="Times New Roman" w:eastAsia="仿宋_GB2312" w:cs="Times New Roman"/>
          <w:color w:val="000000"/>
          <w:sz w:val="32"/>
          <w:szCs w:val="32"/>
        </w:rPr>
        <w:t>按照经费来源，</w:t>
      </w:r>
      <w:r>
        <w:rPr>
          <w:rFonts w:ascii="Times New Roman" w:hAnsi="Times New Roman" w:eastAsia="仿宋_GB2312" w:cs="Times New Roman"/>
          <w:sz w:val="32"/>
          <w:szCs w:val="32"/>
        </w:rPr>
        <w:t>可分为财政拨款、财政性资金基本保证、财政性资金定额或定项补助、财政性资金零补助四类</w:t>
      </w:r>
    </w:p>
    <w:p>
      <w:pPr>
        <w:rPr>
          <w:rFonts w:ascii="Times New Roman" w:hAnsi="Times New Roman" w:cs="Times New Roman"/>
        </w:rPr>
      </w:pPr>
    </w:p>
    <w:p>
      <w:pPr>
        <w:pStyle w:val="10"/>
        <w:widowControl/>
        <w:spacing w:beforeAutospacing="0" w:afterAutospacing="0"/>
        <w:rPr>
          <w:rFonts w:ascii="Times New Roman" w:hAnsi="Times New Roman" w:eastAsia="仿宋_GB2312"/>
          <w:color w:val="333333"/>
          <w:sz w:val="33"/>
          <w:szCs w:val="33"/>
          <w:shd w:val="clear" w:color="auto" w:fill="FFFFFF"/>
        </w:rPr>
      </w:pPr>
    </w:p>
    <w:p>
      <w:pPr>
        <w:rPr>
          <w:rFonts w:ascii="Times New Roman" w:hAnsi="Times New Roman" w:eastAsia="仿宋_GB2312" w:cs="Times New Roman"/>
          <w:color w:val="333333"/>
          <w:sz w:val="33"/>
          <w:szCs w:val="33"/>
          <w:shd w:val="clear" w:color="auto"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
    <w:altName w:val="方正仿宋_GBK"/>
    <w:panose1 w:val="02010609060101010101"/>
    <w:charset w:val="86"/>
    <w:family w:val="modern"/>
    <w:pitch w:val="default"/>
    <w:sig w:usb0="00000000" w:usb1="00000000" w:usb2="00000016" w:usb3="00000000" w:csb0="00040001" w:csb1="00000000"/>
  </w:font>
  <w:font w:name="Calibri Light">
    <w:altName w:val="DejaVu Sans"/>
    <w:panose1 w:val="020F0302020204030204"/>
    <w:charset w:val="00"/>
    <w:family w:val="swiss"/>
    <w:pitch w:val="default"/>
    <w:sig w:usb0="00000000" w:usb1="00000000"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方正魏碑简体">
    <w:altName w:val="方正魏碑_GBK"/>
    <w:panose1 w:val="00000000000000000000"/>
    <w:charset w:val="86"/>
    <w:family w:val="auto"/>
    <w:pitch w:val="default"/>
    <w:sig w:usb0="00000000" w:usb1="00000000" w:usb2="00000010" w:usb3="00000000" w:csb0="00040000" w:csb1="00000000"/>
  </w:font>
  <w:font w:name="思源黑体 CN Heavy">
    <w:altName w:val="方正黑体_GBK"/>
    <w:panose1 w:val="00000000000000000000"/>
    <w:charset w:val="86"/>
    <w:family w:val="swiss"/>
    <w:pitch w:val="default"/>
    <w:sig w:usb0="00000000" w:usb1="00000000" w:usb2="00000016" w:usb3="00000000" w:csb0="00060107" w:csb1="00000000"/>
  </w:font>
  <w:font w:name="楷体_GB2312">
    <w:altName w:val="方正楷体_GBK"/>
    <w:panose1 w:val="00000000000000000000"/>
    <w:charset w:val="86"/>
    <w:family w:val="auto"/>
    <w:pitch w:val="default"/>
    <w:sig w:usb0="00000000" w:usb1="00000000" w:usb2="00000000" w:usb3="00000000" w:csb0="00040000" w:csb1="00000000"/>
  </w:font>
  <w:font w:name="仿宋_GB2312">
    <w:altName w:val="方正仿宋_GBK"/>
    <w:panose1 w:val="00000000000000000000"/>
    <w:charset w:val="86"/>
    <w:family w:val="auto"/>
    <w:pitch w:val="default"/>
    <w:sig w:usb0="00000000" w:usb1="00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方正仿宋_GB2312">
    <w:altName w:val="方正仿宋_GBK"/>
    <w:panose1 w:val="00000000000000000000"/>
    <w:charset w:val="86"/>
    <w:family w:val="auto"/>
    <w:pitch w:val="default"/>
    <w:sig w:usb0="00000000" w:usb1="00000000" w:usb2="00000012" w:usb3="00000000" w:csb0="00040001" w:csb1="00000000"/>
  </w:font>
  <w:font w:name="DengXian-Regular">
    <w:altName w:val="华文中宋"/>
    <w:panose1 w:val="00000000000000000000"/>
    <w:charset w:val="86"/>
    <w:family w:val="auto"/>
    <w:pitch w:val="default"/>
    <w:sig w:usb0="00000000" w:usb1="00000000" w:usb2="00000010" w:usb3="00000000" w:csb0="00040001"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魏碑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6C3A69E8"/>
    <w:multiLevelType w:val="singleLevel"/>
    <w:tmpl w:val="6C3A69E8"/>
    <w:lvl w:ilvl="0" w:tentative="0">
      <w:start w:val="3"/>
      <w:numFmt w:val="chineseCounting"/>
      <w:suff w:val="nothing"/>
      <w:lvlText w:val="（%1）"/>
      <w:lvlJc w:val="left"/>
      <w:rPr>
        <w:rFonts w:hint="eastAsia"/>
      </w:rPr>
    </w:lvl>
  </w:abstractNum>
  <w:abstractNum w:abstractNumId="3">
    <w:nsid w:val="73FD9086"/>
    <w:multiLevelType w:val="singleLevel"/>
    <w:tmpl w:val="73FD9086"/>
    <w:lvl w:ilvl="0" w:tentative="0">
      <w:start w:val="7"/>
      <w:numFmt w:val="chineseCounting"/>
      <w:suff w:val="nothing"/>
      <w:lvlText w:val="%1、"/>
      <w:lvlJc w:val="left"/>
      <w:rPr>
        <w:rFonts w:hint="eastAsia"/>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true"/>
  <w:bordersDoNotSurroundFooter w:val="true"/>
  <w:documentProtection w:enforcement="0"/>
  <w:defaultTabStop w:val="420"/>
  <w:drawingGridVerticalSpacing w:val="156"/>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TEsImhkaWQiOiJjZTUzZGMyNTkxZDU2NjQ3YTk2ODQ4YTcxMzljMzIxZCIsInVzZXJDb3VudCI6N30="/>
  </w:docVars>
  <w:rsids>
    <w:rsidRoot w:val="00144C07"/>
    <w:rsid w:val="00086151"/>
    <w:rsid w:val="00144C07"/>
    <w:rsid w:val="00236F8C"/>
    <w:rsid w:val="0064383A"/>
    <w:rsid w:val="007F638C"/>
    <w:rsid w:val="008B271F"/>
    <w:rsid w:val="008E6AAF"/>
    <w:rsid w:val="00AD3588"/>
    <w:rsid w:val="00B151A5"/>
    <w:rsid w:val="00C65689"/>
    <w:rsid w:val="00CA6AE0"/>
    <w:rsid w:val="00CC2C8E"/>
    <w:rsid w:val="016E52B5"/>
    <w:rsid w:val="01900E19"/>
    <w:rsid w:val="01A03C5A"/>
    <w:rsid w:val="01A5267D"/>
    <w:rsid w:val="02363AF1"/>
    <w:rsid w:val="024808A2"/>
    <w:rsid w:val="025C3821"/>
    <w:rsid w:val="02DA3B1B"/>
    <w:rsid w:val="02E57B4D"/>
    <w:rsid w:val="037B12D4"/>
    <w:rsid w:val="03804D63"/>
    <w:rsid w:val="03FB73B0"/>
    <w:rsid w:val="04BD008C"/>
    <w:rsid w:val="04C55939"/>
    <w:rsid w:val="04DA28BB"/>
    <w:rsid w:val="04F419D9"/>
    <w:rsid w:val="04F528BE"/>
    <w:rsid w:val="05991C82"/>
    <w:rsid w:val="061416A9"/>
    <w:rsid w:val="06236884"/>
    <w:rsid w:val="067E788A"/>
    <w:rsid w:val="06FC7C2A"/>
    <w:rsid w:val="07533AFE"/>
    <w:rsid w:val="07B3657A"/>
    <w:rsid w:val="07C703AC"/>
    <w:rsid w:val="07C857D0"/>
    <w:rsid w:val="08333D3D"/>
    <w:rsid w:val="08AB5AAF"/>
    <w:rsid w:val="09012C64"/>
    <w:rsid w:val="093B2E99"/>
    <w:rsid w:val="095D7943"/>
    <w:rsid w:val="09C006C6"/>
    <w:rsid w:val="0A10621F"/>
    <w:rsid w:val="0A464C4F"/>
    <w:rsid w:val="0A6729A3"/>
    <w:rsid w:val="0A694877"/>
    <w:rsid w:val="0AA954BE"/>
    <w:rsid w:val="0AE0030A"/>
    <w:rsid w:val="0AE70639"/>
    <w:rsid w:val="0B4F5E6D"/>
    <w:rsid w:val="0B753AE2"/>
    <w:rsid w:val="0BB67D0A"/>
    <w:rsid w:val="0BC56230"/>
    <w:rsid w:val="0BCF21BD"/>
    <w:rsid w:val="0C4E53E8"/>
    <w:rsid w:val="0C9F7900"/>
    <w:rsid w:val="0CB23317"/>
    <w:rsid w:val="0CBE297A"/>
    <w:rsid w:val="0D101068"/>
    <w:rsid w:val="0D49470D"/>
    <w:rsid w:val="0D7557DF"/>
    <w:rsid w:val="0D853E34"/>
    <w:rsid w:val="0D9C2A57"/>
    <w:rsid w:val="0DFA5D82"/>
    <w:rsid w:val="0E0B1B42"/>
    <w:rsid w:val="0E1E52CE"/>
    <w:rsid w:val="0E341BC0"/>
    <w:rsid w:val="0E866524"/>
    <w:rsid w:val="0E9268D3"/>
    <w:rsid w:val="0E957F1F"/>
    <w:rsid w:val="0F0E7284"/>
    <w:rsid w:val="0F28110F"/>
    <w:rsid w:val="0F360E40"/>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1F57951"/>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935485"/>
    <w:rsid w:val="18946C52"/>
    <w:rsid w:val="18A34206"/>
    <w:rsid w:val="18DE3B2C"/>
    <w:rsid w:val="1906685D"/>
    <w:rsid w:val="19111683"/>
    <w:rsid w:val="19353916"/>
    <w:rsid w:val="19B07C1B"/>
    <w:rsid w:val="19C10AF1"/>
    <w:rsid w:val="1A077661"/>
    <w:rsid w:val="1A2672DE"/>
    <w:rsid w:val="1AA81D42"/>
    <w:rsid w:val="1AB433D9"/>
    <w:rsid w:val="1B1B11EE"/>
    <w:rsid w:val="1B3719E0"/>
    <w:rsid w:val="1B6261C3"/>
    <w:rsid w:val="1B731730"/>
    <w:rsid w:val="1B882BB5"/>
    <w:rsid w:val="1B906310"/>
    <w:rsid w:val="1B9B33C7"/>
    <w:rsid w:val="1B9D7FEC"/>
    <w:rsid w:val="1BA55461"/>
    <w:rsid w:val="1BC872C4"/>
    <w:rsid w:val="1BE74496"/>
    <w:rsid w:val="1C35495A"/>
    <w:rsid w:val="1C3D67D1"/>
    <w:rsid w:val="1C40731A"/>
    <w:rsid w:val="1C560392"/>
    <w:rsid w:val="1C581532"/>
    <w:rsid w:val="1CA15E03"/>
    <w:rsid w:val="1CA24F0C"/>
    <w:rsid w:val="1CF8716C"/>
    <w:rsid w:val="1D230EBD"/>
    <w:rsid w:val="1D4B1F5B"/>
    <w:rsid w:val="1D6C5CA0"/>
    <w:rsid w:val="1D725586"/>
    <w:rsid w:val="1D745B4F"/>
    <w:rsid w:val="1D867987"/>
    <w:rsid w:val="1D944010"/>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E1971"/>
    <w:rsid w:val="1FC36E8D"/>
    <w:rsid w:val="2008768D"/>
    <w:rsid w:val="204C2B10"/>
    <w:rsid w:val="207D30AD"/>
    <w:rsid w:val="209064B9"/>
    <w:rsid w:val="20970D81"/>
    <w:rsid w:val="20D165D5"/>
    <w:rsid w:val="210878E6"/>
    <w:rsid w:val="210E1408"/>
    <w:rsid w:val="211069AD"/>
    <w:rsid w:val="2154654F"/>
    <w:rsid w:val="21573FAB"/>
    <w:rsid w:val="2172069C"/>
    <w:rsid w:val="21987BC4"/>
    <w:rsid w:val="220451AB"/>
    <w:rsid w:val="2237486E"/>
    <w:rsid w:val="223D1378"/>
    <w:rsid w:val="22940650"/>
    <w:rsid w:val="22AD4B1E"/>
    <w:rsid w:val="22D31DF3"/>
    <w:rsid w:val="22FD3CF7"/>
    <w:rsid w:val="2356249E"/>
    <w:rsid w:val="236E713A"/>
    <w:rsid w:val="23700968"/>
    <w:rsid w:val="238761A6"/>
    <w:rsid w:val="23920578"/>
    <w:rsid w:val="23BB6F9A"/>
    <w:rsid w:val="23FC3864"/>
    <w:rsid w:val="24F25212"/>
    <w:rsid w:val="254B0AC6"/>
    <w:rsid w:val="25571AB6"/>
    <w:rsid w:val="25B40AD6"/>
    <w:rsid w:val="25BE7872"/>
    <w:rsid w:val="25BF702A"/>
    <w:rsid w:val="264D2D17"/>
    <w:rsid w:val="26D50E55"/>
    <w:rsid w:val="270763D6"/>
    <w:rsid w:val="271A539C"/>
    <w:rsid w:val="274972D4"/>
    <w:rsid w:val="2787204F"/>
    <w:rsid w:val="27AA3D97"/>
    <w:rsid w:val="289057C5"/>
    <w:rsid w:val="289724F8"/>
    <w:rsid w:val="28A67C7A"/>
    <w:rsid w:val="28D1057E"/>
    <w:rsid w:val="28D458A4"/>
    <w:rsid w:val="28D7372A"/>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BD223E"/>
    <w:rsid w:val="2EC10AD1"/>
    <w:rsid w:val="2ECB6A5A"/>
    <w:rsid w:val="2EFC0112"/>
    <w:rsid w:val="2F2B730D"/>
    <w:rsid w:val="2F8169E4"/>
    <w:rsid w:val="2F9F3DC1"/>
    <w:rsid w:val="2FFC7AC2"/>
    <w:rsid w:val="301430AF"/>
    <w:rsid w:val="30630612"/>
    <w:rsid w:val="308E59B0"/>
    <w:rsid w:val="30B10568"/>
    <w:rsid w:val="30E55DD3"/>
    <w:rsid w:val="30E60399"/>
    <w:rsid w:val="31356AA5"/>
    <w:rsid w:val="313E22F0"/>
    <w:rsid w:val="31A37D5F"/>
    <w:rsid w:val="31B0194C"/>
    <w:rsid w:val="31CE17D1"/>
    <w:rsid w:val="31CE3CA3"/>
    <w:rsid w:val="323E4515"/>
    <w:rsid w:val="324E00CB"/>
    <w:rsid w:val="32650FDC"/>
    <w:rsid w:val="3286389B"/>
    <w:rsid w:val="32CE6A40"/>
    <w:rsid w:val="32CF5C94"/>
    <w:rsid w:val="32D337C7"/>
    <w:rsid w:val="32E200EC"/>
    <w:rsid w:val="32E5408B"/>
    <w:rsid w:val="32EB0D70"/>
    <w:rsid w:val="332868BB"/>
    <w:rsid w:val="333211F3"/>
    <w:rsid w:val="33504B41"/>
    <w:rsid w:val="335174BC"/>
    <w:rsid w:val="338B4A07"/>
    <w:rsid w:val="33944811"/>
    <w:rsid w:val="33CE0488"/>
    <w:rsid w:val="34005866"/>
    <w:rsid w:val="34182C85"/>
    <w:rsid w:val="34262463"/>
    <w:rsid w:val="34296F31"/>
    <w:rsid w:val="34340A27"/>
    <w:rsid w:val="34496D9C"/>
    <w:rsid w:val="346A2989"/>
    <w:rsid w:val="34714663"/>
    <w:rsid w:val="348865E9"/>
    <w:rsid w:val="348F70D5"/>
    <w:rsid w:val="349D2BAD"/>
    <w:rsid w:val="34B25886"/>
    <w:rsid w:val="35277FF8"/>
    <w:rsid w:val="3558300F"/>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B1DFC"/>
    <w:rsid w:val="3AA6422C"/>
    <w:rsid w:val="3AAF46D5"/>
    <w:rsid w:val="3B135A0E"/>
    <w:rsid w:val="3B272BBC"/>
    <w:rsid w:val="3B2C4F14"/>
    <w:rsid w:val="3B374FEE"/>
    <w:rsid w:val="3B3D2A8B"/>
    <w:rsid w:val="3B4410EE"/>
    <w:rsid w:val="3B56159C"/>
    <w:rsid w:val="3B7D732B"/>
    <w:rsid w:val="3BA7084C"/>
    <w:rsid w:val="3BD30423"/>
    <w:rsid w:val="3C3A1750"/>
    <w:rsid w:val="3C6147F2"/>
    <w:rsid w:val="3C6C0B58"/>
    <w:rsid w:val="3CBE41D5"/>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4404C8E"/>
    <w:rsid w:val="447537F1"/>
    <w:rsid w:val="44870D07"/>
    <w:rsid w:val="45513D03"/>
    <w:rsid w:val="45541E1C"/>
    <w:rsid w:val="458931B6"/>
    <w:rsid w:val="45F657C2"/>
    <w:rsid w:val="46107AB9"/>
    <w:rsid w:val="461F0A8B"/>
    <w:rsid w:val="4648721E"/>
    <w:rsid w:val="46663E71"/>
    <w:rsid w:val="466A37AC"/>
    <w:rsid w:val="46CB071B"/>
    <w:rsid w:val="46DE140B"/>
    <w:rsid w:val="46E77334"/>
    <w:rsid w:val="46F22E29"/>
    <w:rsid w:val="46F7142F"/>
    <w:rsid w:val="47107AE3"/>
    <w:rsid w:val="473C62ED"/>
    <w:rsid w:val="47617242"/>
    <w:rsid w:val="47731896"/>
    <w:rsid w:val="4783216D"/>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5B28DC"/>
    <w:rsid w:val="4AA06B93"/>
    <w:rsid w:val="4ACC6C2B"/>
    <w:rsid w:val="4ADB18EB"/>
    <w:rsid w:val="4B0371D8"/>
    <w:rsid w:val="4B6D2F19"/>
    <w:rsid w:val="4B96118E"/>
    <w:rsid w:val="4BAE1B66"/>
    <w:rsid w:val="4BED4708"/>
    <w:rsid w:val="4BF133DC"/>
    <w:rsid w:val="4C507D4A"/>
    <w:rsid w:val="4CDF5563"/>
    <w:rsid w:val="4CFB2214"/>
    <w:rsid w:val="4D2C4D26"/>
    <w:rsid w:val="4D335E0E"/>
    <w:rsid w:val="4D4E4EA3"/>
    <w:rsid w:val="4D9A5B1B"/>
    <w:rsid w:val="4DA55D85"/>
    <w:rsid w:val="4DB74F29"/>
    <w:rsid w:val="4DBB20DB"/>
    <w:rsid w:val="4DDC3F22"/>
    <w:rsid w:val="4E1040C7"/>
    <w:rsid w:val="4E1760BF"/>
    <w:rsid w:val="4E4A7541"/>
    <w:rsid w:val="4E646AEA"/>
    <w:rsid w:val="4EBA03C3"/>
    <w:rsid w:val="4EBC5459"/>
    <w:rsid w:val="4ED94CB0"/>
    <w:rsid w:val="4EEC2ED3"/>
    <w:rsid w:val="4F037DB0"/>
    <w:rsid w:val="4F0B74A3"/>
    <w:rsid w:val="4F0E56EA"/>
    <w:rsid w:val="4F1863F5"/>
    <w:rsid w:val="4F2E11BC"/>
    <w:rsid w:val="4F3C4343"/>
    <w:rsid w:val="4F416688"/>
    <w:rsid w:val="4F5620B0"/>
    <w:rsid w:val="4F6654EE"/>
    <w:rsid w:val="4F7379C6"/>
    <w:rsid w:val="4F872183"/>
    <w:rsid w:val="4F872BDB"/>
    <w:rsid w:val="4F9111A0"/>
    <w:rsid w:val="4F9F566B"/>
    <w:rsid w:val="4FA033E9"/>
    <w:rsid w:val="4FA743DA"/>
    <w:rsid w:val="4FB3565A"/>
    <w:rsid w:val="4FCB76FB"/>
    <w:rsid w:val="4FED77BF"/>
    <w:rsid w:val="503D1C79"/>
    <w:rsid w:val="504D5EAD"/>
    <w:rsid w:val="507A6406"/>
    <w:rsid w:val="50853863"/>
    <w:rsid w:val="508A4590"/>
    <w:rsid w:val="50F1461D"/>
    <w:rsid w:val="50FE5411"/>
    <w:rsid w:val="510B072E"/>
    <w:rsid w:val="511B0BF4"/>
    <w:rsid w:val="51264306"/>
    <w:rsid w:val="516123CE"/>
    <w:rsid w:val="51B177A9"/>
    <w:rsid w:val="51C4760A"/>
    <w:rsid w:val="51CF0D81"/>
    <w:rsid w:val="51E066EB"/>
    <w:rsid w:val="5267570A"/>
    <w:rsid w:val="52707792"/>
    <w:rsid w:val="52A12CDC"/>
    <w:rsid w:val="52DF0C92"/>
    <w:rsid w:val="52E1159C"/>
    <w:rsid w:val="52E34D6A"/>
    <w:rsid w:val="531E524E"/>
    <w:rsid w:val="534072EB"/>
    <w:rsid w:val="535B3F9E"/>
    <w:rsid w:val="537F4776"/>
    <w:rsid w:val="538E2D0B"/>
    <w:rsid w:val="53922782"/>
    <w:rsid w:val="539C1424"/>
    <w:rsid w:val="53A639C0"/>
    <w:rsid w:val="53F00A24"/>
    <w:rsid w:val="53F63DBA"/>
    <w:rsid w:val="5448624E"/>
    <w:rsid w:val="546E2B1A"/>
    <w:rsid w:val="5482555F"/>
    <w:rsid w:val="551452C2"/>
    <w:rsid w:val="55363E67"/>
    <w:rsid w:val="555C4981"/>
    <w:rsid w:val="556E6DF7"/>
    <w:rsid w:val="559D47CE"/>
    <w:rsid w:val="55BE1959"/>
    <w:rsid w:val="56232437"/>
    <w:rsid w:val="56541A75"/>
    <w:rsid w:val="568832FC"/>
    <w:rsid w:val="568C4181"/>
    <w:rsid w:val="56B73A15"/>
    <w:rsid w:val="570725A9"/>
    <w:rsid w:val="5714693E"/>
    <w:rsid w:val="571D0C9C"/>
    <w:rsid w:val="573A16CE"/>
    <w:rsid w:val="579C7F80"/>
    <w:rsid w:val="57B30D7C"/>
    <w:rsid w:val="57D80EB0"/>
    <w:rsid w:val="58166B03"/>
    <w:rsid w:val="583E3C94"/>
    <w:rsid w:val="58721734"/>
    <w:rsid w:val="58900246"/>
    <w:rsid w:val="58977358"/>
    <w:rsid w:val="58D53944"/>
    <w:rsid w:val="58D65478"/>
    <w:rsid w:val="58F52487"/>
    <w:rsid w:val="58F778BC"/>
    <w:rsid w:val="590422E6"/>
    <w:rsid w:val="592257E5"/>
    <w:rsid w:val="59655E33"/>
    <w:rsid w:val="596655D3"/>
    <w:rsid w:val="59CF5BD9"/>
    <w:rsid w:val="59E20C3C"/>
    <w:rsid w:val="5A1D5B0A"/>
    <w:rsid w:val="5A3B4B4E"/>
    <w:rsid w:val="5A4804CA"/>
    <w:rsid w:val="5A594C85"/>
    <w:rsid w:val="5A7A11AE"/>
    <w:rsid w:val="5AEB1E3C"/>
    <w:rsid w:val="5B2507CA"/>
    <w:rsid w:val="5B2A474A"/>
    <w:rsid w:val="5B830730"/>
    <w:rsid w:val="5B871C49"/>
    <w:rsid w:val="5BBB2DD6"/>
    <w:rsid w:val="5BE263B6"/>
    <w:rsid w:val="5C0B5402"/>
    <w:rsid w:val="5C8E5C5A"/>
    <w:rsid w:val="5C965E61"/>
    <w:rsid w:val="5D242A11"/>
    <w:rsid w:val="5D9217C2"/>
    <w:rsid w:val="5DAD06BF"/>
    <w:rsid w:val="5DE23CB3"/>
    <w:rsid w:val="5DE97EEC"/>
    <w:rsid w:val="5DF43138"/>
    <w:rsid w:val="5DFA5EB0"/>
    <w:rsid w:val="5E0B583E"/>
    <w:rsid w:val="5E201A7B"/>
    <w:rsid w:val="5EBD0484"/>
    <w:rsid w:val="5F04373C"/>
    <w:rsid w:val="5F2C5C7C"/>
    <w:rsid w:val="5FC5273F"/>
    <w:rsid w:val="60806DF2"/>
    <w:rsid w:val="61072DA5"/>
    <w:rsid w:val="611C0817"/>
    <w:rsid w:val="61224A52"/>
    <w:rsid w:val="61520CCB"/>
    <w:rsid w:val="61614E76"/>
    <w:rsid w:val="61851A29"/>
    <w:rsid w:val="622D1522"/>
    <w:rsid w:val="622E0574"/>
    <w:rsid w:val="62683B6B"/>
    <w:rsid w:val="62AC5944"/>
    <w:rsid w:val="632731DA"/>
    <w:rsid w:val="636B6F9F"/>
    <w:rsid w:val="637279B4"/>
    <w:rsid w:val="63817D2B"/>
    <w:rsid w:val="63BD1FA9"/>
    <w:rsid w:val="63D27965"/>
    <w:rsid w:val="64095516"/>
    <w:rsid w:val="641A2468"/>
    <w:rsid w:val="64372F20"/>
    <w:rsid w:val="64DC72D7"/>
    <w:rsid w:val="653619A6"/>
    <w:rsid w:val="65610A02"/>
    <w:rsid w:val="65A11EA3"/>
    <w:rsid w:val="65AC3D66"/>
    <w:rsid w:val="65BB5334"/>
    <w:rsid w:val="663E1DBA"/>
    <w:rsid w:val="665D0213"/>
    <w:rsid w:val="669E59F1"/>
    <w:rsid w:val="66A2024B"/>
    <w:rsid w:val="66EA4BA0"/>
    <w:rsid w:val="6704732B"/>
    <w:rsid w:val="670F6731"/>
    <w:rsid w:val="67127C7D"/>
    <w:rsid w:val="67280F62"/>
    <w:rsid w:val="67585CB0"/>
    <w:rsid w:val="67770F0C"/>
    <w:rsid w:val="67B03535"/>
    <w:rsid w:val="6801775B"/>
    <w:rsid w:val="68174F69"/>
    <w:rsid w:val="682C436A"/>
    <w:rsid w:val="68382778"/>
    <w:rsid w:val="68391F41"/>
    <w:rsid w:val="68436B8C"/>
    <w:rsid w:val="684C37A9"/>
    <w:rsid w:val="68797358"/>
    <w:rsid w:val="6884624F"/>
    <w:rsid w:val="68A519DF"/>
    <w:rsid w:val="68C4160B"/>
    <w:rsid w:val="68C41C30"/>
    <w:rsid w:val="68CF3BA4"/>
    <w:rsid w:val="69257FA7"/>
    <w:rsid w:val="693711B0"/>
    <w:rsid w:val="693B5419"/>
    <w:rsid w:val="693F26C7"/>
    <w:rsid w:val="69492C65"/>
    <w:rsid w:val="697E12B2"/>
    <w:rsid w:val="69C8706D"/>
    <w:rsid w:val="6A0E3FB4"/>
    <w:rsid w:val="6A292754"/>
    <w:rsid w:val="6A5E3B28"/>
    <w:rsid w:val="6A6B1EBE"/>
    <w:rsid w:val="6A8F43F7"/>
    <w:rsid w:val="6ABF79B7"/>
    <w:rsid w:val="6AD625F3"/>
    <w:rsid w:val="6B750BA9"/>
    <w:rsid w:val="6BB93285"/>
    <w:rsid w:val="6C0C698C"/>
    <w:rsid w:val="6C222401"/>
    <w:rsid w:val="6C56267F"/>
    <w:rsid w:val="6C826EF9"/>
    <w:rsid w:val="6CAE4C93"/>
    <w:rsid w:val="6CF93D3F"/>
    <w:rsid w:val="6D0B1869"/>
    <w:rsid w:val="6D61214D"/>
    <w:rsid w:val="6D65402D"/>
    <w:rsid w:val="6D683822"/>
    <w:rsid w:val="6D8D136C"/>
    <w:rsid w:val="6DBF2759"/>
    <w:rsid w:val="6DC96F36"/>
    <w:rsid w:val="6DE36C13"/>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21708A"/>
    <w:rsid w:val="713C4ED8"/>
    <w:rsid w:val="71407642"/>
    <w:rsid w:val="71641210"/>
    <w:rsid w:val="71D95B7C"/>
    <w:rsid w:val="71EA6A50"/>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907B4"/>
    <w:rsid w:val="75CE266B"/>
    <w:rsid w:val="76120141"/>
    <w:rsid w:val="76272BC6"/>
    <w:rsid w:val="76B800B0"/>
    <w:rsid w:val="76C23B43"/>
    <w:rsid w:val="76FD6F97"/>
    <w:rsid w:val="770218E8"/>
    <w:rsid w:val="7745298E"/>
    <w:rsid w:val="77C875A5"/>
    <w:rsid w:val="78A27DF6"/>
    <w:rsid w:val="79285B3A"/>
    <w:rsid w:val="79625CA9"/>
    <w:rsid w:val="796B5873"/>
    <w:rsid w:val="79A91196"/>
    <w:rsid w:val="7A0B32D3"/>
    <w:rsid w:val="7AC13CD3"/>
    <w:rsid w:val="7AE10264"/>
    <w:rsid w:val="7B086EDB"/>
    <w:rsid w:val="7B4A207F"/>
    <w:rsid w:val="7B936F45"/>
    <w:rsid w:val="7BA47419"/>
    <w:rsid w:val="7BB10D45"/>
    <w:rsid w:val="7BB44151"/>
    <w:rsid w:val="7BEC320B"/>
    <w:rsid w:val="7BF82951"/>
    <w:rsid w:val="7C3307AB"/>
    <w:rsid w:val="7C656A39"/>
    <w:rsid w:val="7CB93996"/>
    <w:rsid w:val="7CBE0F99"/>
    <w:rsid w:val="7D4E45F1"/>
    <w:rsid w:val="7D733448"/>
    <w:rsid w:val="7DFB6D82"/>
    <w:rsid w:val="7E1D71D1"/>
    <w:rsid w:val="7E246254"/>
    <w:rsid w:val="7E6D090F"/>
    <w:rsid w:val="7ECC66B2"/>
    <w:rsid w:val="7EF015E4"/>
    <w:rsid w:val="7F087006"/>
    <w:rsid w:val="7F9ABA61"/>
    <w:rsid w:val="7FA837EF"/>
    <w:rsid w:val="7FC36955"/>
    <w:rsid w:val="7FE822EB"/>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字符"/>
    <w:link w:val="3"/>
    <w:qFormat/>
    <w:uiPriority w:val="0"/>
    <w:rPr>
      <w:rFonts w:ascii="Calibri Light" w:hAnsi="Calibri Light" w:eastAsia="宋体" w:cs="Times New Roman"/>
      <w:b/>
      <w:bCs/>
      <w:sz w:val="28"/>
      <w:szCs w:val="32"/>
    </w:rPr>
  </w:style>
  <w:style w:type="character" w:customStyle="1" w:styleId="16">
    <w:name w:val="页脚 字符"/>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字符"/>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字符"/>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chart" Target="charts/chart6.xml"/><Relationship Id="rId2" Type="http://schemas.openxmlformats.org/officeDocument/2006/relationships/settings" Target="settings.xml"/><Relationship Id="rId19" Type="http://schemas.openxmlformats.org/officeDocument/2006/relationships/chart" Target="charts/chart5.xml"/><Relationship Id="rId18" Type="http://schemas.openxmlformats.org/officeDocument/2006/relationships/chart" Target="charts/chart4.xml"/><Relationship Id="rId17" Type="http://schemas.openxmlformats.org/officeDocument/2006/relationships/chart" Target="charts/chart3.xml"/><Relationship Id="rId16" Type="http://schemas.openxmlformats.org/officeDocument/2006/relationships/chart" Target="charts/chart2.xml"/><Relationship Id="rId15" Type="http://schemas.openxmlformats.org/officeDocument/2006/relationships/chart" Target="charts/chart1.xml"/><Relationship Id="rId14" Type="http://schemas.openxmlformats.org/officeDocument/2006/relationships/image" Target="media/image1.svg"/><Relationship Id="rId13" Type="http://schemas.openxmlformats.org/officeDocument/2006/relationships/image" Target="media/image5.pn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false"/>
      <c:spPr>
        <a:noFill/>
        <a:ln>
          <a:noFill/>
        </a:ln>
        <a:effectLst/>
      </c:spPr>
    </c:title>
    <c:autoTitleDeleted val="false"/>
    <c:plotArea>
      <c:layout/>
      <c:barChart>
        <c:barDir val="col"/>
        <c:grouping val="clustered"/>
        <c:varyColors val="false"/>
        <c:ser>
          <c:idx val="0"/>
          <c:order val="0"/>
          <c:tx>
            <c:strRef>
              <c:f>Sheet1!$B$1</c:f>
              <c:strCache>
                <c:ptCount val="1"/>
                <c:pt idx="0">
                  <c:v>收支总计</c:v>
                </c:pt>
              </c:strCache>
            </c:strRef>
          </c:tx>
          <c:spPr>
            <a:solidFill>
              <a:schemeClr val="accent1"/>
            </a:solidFill>
            <a:ln>
              <a:noFill/>
            </a:ln>
            <a:effectLst/>
          </c:spPr>
          <c:invertIfNegative val="false"/>
          <c:dLbls>
            <c:spPr>
              <a:noFill/>
              <a:ln>
                <a:noFill/>
              </a:ln>
              <a:effectLst/>
            </c:spPr>
            <c:txPr>
              <a:bodyPr rot="0" spcFirstLastPara="0" vertOverflow="ellipsis" vert="horz" wrap="square" lIns="38100" tIns="19050" rIns="38100" bIns="19050" anchor="ctr" anchorCtr="true"/>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true"/>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238.06</c:v>
                </c:pt>
                <c:pt idx="1">
                  <c:v>191.95</c:v>
                </c:pt>
              </c:numCache>
            </c:numRef>
          </c:val>
        </c:ser>
        <c:dLbls>
          <c:showLegendKey val="false"/>
          <c:showVal val="true"/>
          <c:showCatName val="false"/>
          <c:showSerName val="false"/>
          <c:showPercent val="false"/>
          <c:showBubbleSize val="false"/>
        </c:dLbls>
        <c:gapWidth val="246"/>
        <c:overlap val="-28"/>
        <c:axId val="817088452"/>
        <c:axId val="587069473"/>
      </c:barChart>
      <c:catAx>
        <c:axId val="817088452"/>
        <c:scaling>
          <c:orientation val="minMax"/>
        </c:scaling>
        <c:delete val="false"/>
        <c:axPos val="b"/>
        <c:numFmt formatCode="General" sourceLinked="false"/>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true"/>
        <c:lblAlgn val="ctr"/>
        <c:lblOffset val="100"/>
        <c:noMultiLvlLbl val="false"/>
      </c:catAx>
      <c:valAx>
        <c:axId val="587069473"/>
        <c:scaling>
          <c:orientation val="minMax"/>
        </c:scaling>
        <c:delete val="false"/>
        <c:axPos val="l"/>
        <c:majorGridlines>
          <c:spPr>
            <a:ln w="9525" cap="flat" cmpd="sng" algn="ctr">
              <a:solidFill>
                <a:schemeClr val="lt1">
                  <a:lumMod val="90200"/>
                </a:schemeClr>
              </a:solidFill>
              <a:round/>
            </a:ln>
            <a:effectLst/>
          </c:spPr>
        </c:majorGridlines>
        <c:numFmt formatCode="General" sourceLinked="true"/>
        <c:majorTickMark val="none"/>
        <c:minorTickMark val="none"/>
        <c:tickLblPos val="nextTo"/>
        <c:spPr>
          <a:noFill/>
          <a:ln>
            <a:noFill/>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true"/>
    <c:dispBlanksAs val="gap"/>
    <c:showDLblsOverMax val="false"/>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false"/>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manualLayout>
          <c:xMode val="edge"/>
          <c:yMode val="edge"/>
          <c:x val="0.245711524522832"/>
          <c:y val="0.00637484062898428"/>
        </c:manualLayout>
      </c:layout>
      <c:overlay val="false"/>
      <c:spPr>
        <a:noFill/>
        <a:ln>
          <a:noFill/>
        </a:ln>
        <a:effectLst/>
      </c:spPr>
    </c:title>
    <c:autoTitleDeleted val="false"/>
    <c:plotArea>
      <c:layout/>
      <c:pieChart>
        <c:varyColors val="true"/>
        <c:ser>
          <c:idx val="0"/>
          <c:order val="0"/>
          <c:tx>
            <c:strRef>
              <c:f>Sheet1!$B$1</c:f>
              <c:strCache>
                <c:ptCount val="1"/>
                <c:pt idx="0">
                  <c:v>金额</c:v>
                </c:pt>
              </c:strCache>
            </c:strRef>
          </c:tx>
          <c:spPr/>
          <c:explosion val="0"/>
          <c:dPt>
            <c:idx val="0"/>
            <c:bubble3D val="false"/>
            <c:spPr>
              <a:solidFill>
                <a:schemeClr val="accent1"/>
              </a:solidFill>
              <a:ln>
                <a:solidFill>
                  <a:schemeClr val="bg1"/>
                </a:solidFill>
              </a:ln>
              <a:effectLst/>
            </c:spPr>
          </c:dPt>
          <c:dPt>
            <c:idx val="1"/>
            <c:bubble3D val="false"/>
            <c:spPr>
              <a:solidFill>
                <a:schemeClr val="accent2"/>
              </a:solidFill>
              <a:ln>
                <a:solidFill>
                  <a:schemeClr val="bg1"/>
                </a:solidFill>
              </a:ln>
              <a:effectLst/>
            </c:spPr>
          </c:dPt>
          <c:dPt>
            <c:idx val="2"/>
            <c:bubble3D val="false"/>
            <c:spPr>
              <a:solidFill>
                <a:schemeClr val="accent3"/>
              </a:solidFill>
              <a:ln>
                <a:solidFill>
                  <a:schemeClr val="bg1"/>
                </a:solidFill>
              </a:ln>
              <a:effectLst/>
            </c:spPr>
          </c:dPt>
          <c:dPt>
            <c:idx val="3"/>
            <c:bubble3D val="false"/>
            <c:spPr>
              <a:solidFill>
                <a:schemeClr val="accent4"/>
              </a:solidFill>
              <a:ln>
                <a:solidFill>
                  <a:schemeClr val="bg1"/>
                </a:solidFill>
              </a:ln>
              <a:effectLst/>
            </c:spPr>
          </c:dPt>
          <c:dPt>
            <c:idx val="4"/>
            <c:bubble3D val="false"/>
            <c:spPr>
              <a:solidFill>
                <a:schemeClr val="accent5"/>
              </a:solidFill>
              <a:ln>
                <a:solidFill>
                  <a:schemeClr val="bg1"/>
                </a:solidFill>
              </a:ln>
              <a:effectLst/>
            </c:spPr>
          </c:dPt>
          <c:dPt>
            <c:idx val="5"/>
            <c:bubble3D val="false"/>
            <c:spPr>
              <a:solidFill>
                <a:schemeClr val="accent6"/>
              </a:solidFill>
              <a:ln>
                <a:solidFill>
                  <a:schemeClr val="bg1"/>
                </a:solidFill>
              </a:ln>
              <a:effectLst/>
            </c:spPr>
          </c:dPt>
          <c:dLbls>
            <c:delete val="true"/>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1919534.69</c:v>
                </c:pt>
                <c:pt idx="1">
                  <c:v>0</c:v>
                </c:pt>
                <c:pt idx="2">
                  <c:v>0</c:v>
                </c:pt>
                <c:pt idx="3">
                  <c:v>0</c:v>
                </c:pt>
                <c:pt idx="4">
                  <c:v>0</c:v>
                </c:pt>
                <c:pt idx="5">
                  <c:v>0</c:v>
                </c:pt>
              </c:numCache>
            </c:numRef>
          </c:val>
        </c:ser>
        <c:dLbls>
          <c:showLegendKey val="false"/>
          <c:showVal val="true"/>
          <c:showCatName val="false"/>
          <c:showSerName val="false"/>
          <c:showPercent val="false"/>
          <c:showBubbleSize val="false"/>
          <c:showLeaderLines val="true"/>
        </c:dLbls>
        <c:firstSliceAng val="0"/>
      </c:pieChart>
      <c:spPr>
        <a:noFill/>
        <a:ln>
          <a:noFill/>
        </a:ln>
        <a:effectLst/>
      </c:spPr>
    </c:plotArea>
    <c:legend>
      <c:legendPos val="r"/>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legend>
    <c:plotVisOnly val="true"/>
    <c:dispBlanksAs val="gap"/>
    <c:showDLblsOverMax val="false"/>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false"/>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：支出决算构成情况图</a:t>
            </a:r>
            <a:endParaRPr lang="zh-CN" altLang="en-US" b="0"/>
          </a:p>
        </c:rich>
      </c:tx>
      <c:layout>
        <c:manualLayout>
          <c:xMode val="edge"/>
          <c:yMode val="edge"/>
          <c:x val="0.284851413384876"/>
          <c:y val="0.0497237569060773"/>
        </c:manualLayout>
      </c:layout>
      <c:overlay val="false"/>
      <c:spPr>
        <a:noFill/>
        <a:ln>
          <a:noFill/>
        </a:ln>
        <a:effectLst/>
      </c:spPr>
    </c:title>
    <c:autoTitleDeleted val="false"/>
    <c:plotArea>
      <c:layout/>
      <c:pieChart>
        <c:varyColors val="true"/>
        <c:ser>
          <c:idx val="0"/>
          <c:order val="0"/>
          <c:tx>
            <c:strRef>
              <c:f>Sheet1!$B$1</c:f>
              <c:strCache>
                <c:ptCount val="1"/>
                <c:pt idx="0">
                  <c:v>金额</c:v>
                </c:pt>
              </c:strCache>
            </c:strRef>
          </c:tx>
          <c:spPr/>
          <c:explosion val="0"/>
          <c:dPt>
            <c:idx val="0"/>
            <c:bubble3D val="false"/>
            <c:spPr>
              <a:solidFill>
                <a:schemeClr val="accent1"/>
              </a:solidFill>
              <a:ln>
                <a:solidFill>
                  <a:schemeClr val="bg1"/>
                </a:solidFill>
              </a:ln>
              <a:effectLst/>
            </c:spPr>
          </c:dPt>
          <c:dPt>
            <c:idx val="1"/>
            <c:bubble3D val="false"/>
            <c:spPr>
              <a:solidFill>
                <a:schemeClr val="accent2"/>
              </a:solidFill>
              <a:ln>
                <a:solidFill>
                  <a:schemeClr val="bg1"/>
                </a:solidFill>
              </a:ln>
              <a:effectLst/>
            </c:spPr>
          </c:dPt>
          <c:dPt>
            <c:idx val="2"/>
            <c:bubble3D val="false"/>
            <c:spPr>
              <a:solidFill>
                <a:schemeClr val="accent3"/>
              </a:solidFill>
              <a:ln>
                <a:solidFill>
                  <a:schemeClr val="bg1"/>
                </a:solidFill>
              </a:ln>
              <a:effectLst/>
            </c:spPr>
          </c:dPt>
          <c:dPt>
            <c:idx val="3"/>
            <c:bubble3D val="false"/>
            <c:spPr>
              <a:solidFill>
                <a:schemeClr val="accent4"/>
              </a:solidFill>
              <a:ln>
                <a:solidFill>
                  <a:schemeClr val="bg1"/>
                </a:solidFill>
              </a:ln>
              <a:effectLst/>
            </c:spPr>
          </c:dPt>
          <c:dPt>
            <c:idx val="4"/>
            <c:bubble3D val="false"/>
            <c:spPr>
              <a:solidFill>
                <a:schemeClr val="accent5"/>
              </a:solidFill>
              <a:ln>
                <a:solidFill>
                  <a:schemeClr val="bg1"/>
                </a:solidFill>
              </a:ln>
              <a:effectLst/>
            </c:spPr>
          </c:dPt>
          <c:dLbls>
            <c:delete val="true"/>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1919534.69</c:v>
                </c:pt>
                <c:pt idx="1">
                  <c:v>0</c:v>
                </c:pt>
                <c:pt idx="2">
                  <c:v>0</c:v>
                </c:pt>
                <c:pt idx="3">
                  <c:v>0</c:v>
                </c:pt>
                <c:pt idx="4">
                  <c:v>0</c:v>
                </c:pt>
              </c:numCache>
            </c:numRef>
          </c:val>
        </c:ser>
        <c:dLbls>
          <c:showLegendKey val="false"/>
          <c:showVal val="true"/>
          <c:showCatName val="false"/>
          <c:showSerName val="false"/>
          <c:showPercent val="false"/>
          <c:showBubbleSize val="false"/>
          <c:showLeaderLines val="true"/>
        </c:dLbls>
        <c:firstSliceAng val="0"/>
      </c:pieChart>
      <c:spPr>
        <a:noFill/>
        <a:ln>
          <a:noFill/>
        </a:ln>
        <a:effectLst/>
      </c:spPr>
    </c:plotArea>
    <c:legend>
      <c:legendPos val="r"/>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legend>
    <c:plotVisOnly val="true"/>
    <c:dispBlanksAs val="gap"/>
    <c:showDLblsOverMax val="false"/>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false"/>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false"/>
      <c:spPr>
        <a:noFill/>
        <a:ln>
          <a:noFill/>
        </a:ln>
        <a:effectLst/>
      </c:spPr>
    </c:title>
    <c:autoTitleDeleted val="false"/>
    <c:plotArea>
      <c:layout/>
      <c:barChart>
        <c:barDir val="col"/>
        <c:grouping val="clustered"/>
        <c:varyColors val="false"/>
        <c:ser>
          <c:idx val="0"/>
          <c:order val="0"/>
          <c:tx>
            <c:strRef>
              <c:f>Sheet1!$B$1</c:f>
              <c:strCache>
                <c:ptCount val="1"/>
                <c:pt idx="0">
                  <c:v>2022年</c:v>
                </c:pt>
              </c:strCache>
            </c:strRef>
          </c:tx>
          <c:spPr>
            <a:solidFill>
              <a:schemeClr val="accent1"/>
            </a:solidFill>
            <a:ln>
              <a:noFill/>
            </a:ln>
            <a:effectLst/>
          </c:spPr>
          <c:invertIfNegative val="false"/>
          <c:dLbls>
            <c:spPr>
              <a:noFill/>
              <a:ln>
                <a:noFill/>
              </a:ln>
              <a:effectLst/>
            </c:spPr>
            <c:txPr>
              <a:bodyPr rot="0" spcFirstLastPara="0" vertOverflow="ellipsis" vert="horz" wrap="square" lIns="38100" tIns="19050" rIns="38100" bIns="19050" anchor="ctr" anchorCtr="true"/>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true"/>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193.57</c:v>
                </c:pt>
                <c:pt idx="1">
                  <c:v>238.06</c:v>
                </c:pt>
                <c:pt idx="2">
                  <c:v>193.57</c:v>
                </c:pt>
                <c:pt idx="3">
                  <c:v>238.06</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false"/>
          <c:dLbls>
            <c:spPr>
              <a:noFill/>
              <a:ln>
                <a:noFill/>
              </a:ln>
              <a:effectLst/>
            </c:spPr>
            <c:txPr>
              <a:bodyPr rot="0" spcFirstLastPara="0" vertOverflow="ellipsis" vert="horz" wrap="square" lIns="38100" tIns="19050" rIns="38100" bIns="19050" anchor="ctr" anchorCtr="true"/>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true"/>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191.95</c:v>
                </c:pt>
                <c:pt idx="1">
                  <c:v>191.95</c:v>
                </c:pt>
                <c:pt idx="2">
                  <c:v>191.95</c:v>
                </c:pt>
                <c:pt idx="3">
                  <c:v>191.95</c:v>
                </c:pt>
                <c:pt idx="4">
                  <c:v>0</c:v>
                </c:pt>
                <c:pt idx="5">
                  <c:v>0</c:v>
                </c:pt>
                <c:pt idx="6">
                  <c:v>0</c:v>
                </c:pt>
                <c:pt idx="7">
                  <c:v>0</c:v>
                </c:pt>
              </c:numCache>
            </c:numRef>
          </c:val>
        </c:ser>
        <c:dLbls>
          <c:showLegendKey val="false"/>
          <c:showVal val="true"/>
          <c:showCatName val="false"/>
          <c:showSerName val="false"/>
          <c:showPercent val="false"/>
          <c:showBubbleSize val="false"/>
        </c:dLbls>
        <c:gapWidth val="246"/>
        <c:overlap val="-28"/>
        <c:axId val="40225855"/>
        <c:axId val="660958640"/>
      </c:barChart>
      <c:catAx>
        <c:axId val="40225855"/>
        <c:scaling>
          <c:orientation val="minMax"/>
        </c:scaling>
        <c:delete val="false"/>
        <c:axPos val="b"/>
        <c:numFmt formatCode="General" sourceLinked="false"/>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true"/>
        <c:lblAlgn val="ctr"/>
        <c:lblOffset val="100"/>
        <c:noMultiLvlLbl val="false"/>
      </c:catAx>
      <c:valAx>
        <c:axId val="660958640"/>
        <c:scaling>
          <c:orientation val="minMax"/>
        </c:scaling>
        <c:delete val="false"/>
        <c:axPos val="l"/>
        <c:majorGridlines>
          <c:spPr>
            <a:ln w="9525" cap="flat" cmpd="sng" algn="ctr">
              <a:solidFill>
                <a:schemeClr val="lt1">
                  <a:lumMod val="90200"/>
                </a:schemeClr>
              </a:solidFill>
              <a:round/>
            </a:ln>
            <a:effectLst/>
          </c:spPr>
        </c:majorGridlines>
        <c:numFmt formatCode="General" sourceLinked="true"/>
        <c:majorTickMark val="out"/>
        <c:minorTickMark val="none"/>
        <c:tickLblPos val="nextTo"/>
        <c:spPr>
          <a:noFill/>
          <a:ln>
            <a:noFill/>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true"/>
        <c:showVertBorder val="true"/>
        <c:showOutline val="true"/>
        <c:showKeys val="true"/>
        <c:spPr>
          <a:noFill/>
          <a:ln w="9525" cap="flat" cmpd="sng" algn="ctr">
            <a:solidFill>
              <a:schemeClr val="tx1">
                <a:lumMod val="15000"/>
                <a:lumOff val="85000"/>
              </a:schemeClr>
            </a:solidFill>
            <a:round/>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legend>
    <c:plotVisOnly val="true"/>
    <c:dispBlanksAs val="gap"/>
    <c:showDLblsOverMax val="false"/>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false"/>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false"/>
      <c:spPr>
        <a:noFill/>
        <a:ln>
          <a:noFill/>
        </a:ln>
        <a:effectLst/>
      </c:spPr>
    </c:title>
    <c:autoTitleDeleted val="false"/>
    <c:plotArea>
      <c:layout/>
      <c:barChart>
        <c:barDir val="col"/>
        <c:grouping val="clustered"/>
        <c:varyColors val="false"/>
        <c:ser>
          <c:idx val="0"/>
          <c:order val="0"/>
          <c:tx>
            <c:strRef>
              <c:f>Sheet1!$B$1</c:f>
              <c:strCache>
                <c:ptCount val="1"/>
                <c:pt idx="0">
                  <c:v>年初预算数</c:v>
                </c:pt>
              </c:strCache>
            </c:strRef>
          </c:tx>
          <c:spPr>
            <a:solidFill>
              <a:schemeClr val="accent1"/>
            </a:solidFill>
            <a:ln>
              <a:noFill/>
            </a:ln>
            <a:effectLst/>
          </c:spPr>
          <c:invertIfNegative val="false"/>
          <c:dLbls>
            <c:spPr>
              <a:noFill/>
              <a:ln>
                <a:noFill/>
              </a:ln>
              <a:effectLst/>
            </c:spPr>
            <c:txPr>
              <a:bodyPr rot="0" spcFirstLastPara="0" vertOverflow="ellipsis" vert="horz" wrap="square" lIns="38100" tIns="19050" rIns="38100" bIns="19050" anchor="ctr" anchorCtr="true"/>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true"/>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191.95</c:v>
                </c:pt>
                <c:pt idx="1">
                  <c:v>191.95</c:v>
                </c:pt>
                <c:pt idx="2">
                  <c:v>191.95</c:v>
                </c:pt>
                <c:pt idx="3">
                  <c:v>191.95</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false"/>
          <c:dLbls>
            <c:spPr>
              <a:noFill/>
              <a:ln>
                <a:noFill/>
              </a:ln>
              <a:effectLst/>
            </c:spPr>
            <c:txPr>
              <a:bodyPr rot="0" spcFirstLastPara="0" vertOverflow="ellipsis" vert="horz" wrap="square" lIns="38100" tIns="19050" rIns="38100" bIns="19050" anchor="ctr" anchorCtr="true"/>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true"/>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191.95</c:v>
                </c:pt>
                <c:pt idx="1">
                  <c:v>191.95</c:v>
                </c:pt>
                <c:pt idx="2">
                  <c:v>191.95</c:v>
                </c:pt>
                <c:pt idx="3">
                  <c:v>191.95</c:v>
                </c:pt>
                <c:pt idx="4">
                  <c:v>0</c:v>
                </c:pt>
                <c:pt idx="5">
                  <c:v>0</c:v>
                </c:pt>
                <c:pt idx="6">
                  <c:v>0</c:v>
                </c:pt>
                <c:pt idx="7">
                  <c:v>0</c:v>
                </c:pt>
              </c:numCache>
            </c:numRef>
          </c:val>
        </c:ser>
        <c:dLbls>
          <c:showLegendKey val="false"/>
          <c:showVal val="true"/>
          <c:showCatName val="false"/>
          <c:showSerName val="false"/>
          <c:showPercent val="false"/>
          <c:showBubbleSize val="false"/>
        </c:dLbls>
        <c:gapWidth val="150"/>
        <c:axId val="136214206"/>
        <c:axId val="897256872"/>
      </c:barChart>
      <c:catAx>
        <c:axId val="136214206"/>
        <c:scaling>
          <c:orientation val="minMax"/>
        </c:scaling>
        <c:delete val="false"/>
        <c:axPos val="b"/>
        <c:numFmt formatCode="General" sourceLinked="false"/>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true"/>
        <c:lblAlgn val="ctr"/>
        <c:lblOffset val="100"/>
        <c:noMultiLvlLbl val="false"/>
      </c:catAx>
      <c:valAx>
        <c:axId val="897256872"/>
        <c:scaling>
          <c:orientation val="minMax"/>
        </c:scaling>
        <c:delete val="false"/>
        <c:axPos val="l"/>
        <c:majorGridlines>
          <c:spPr>
            <a:ln w="9525" cap="flat" cmpd="sng" algn="ctr">
              <a:solidFill>
                <a:schemeClr val="lt1">
                  <a:lumMod val="90200"/>
                </a:schemeClr>
              </a:solidFill>
              <a:round/>
            </a:ln>
            <a:effectLst/>
          </c:spPr>
        </c:majorGridlines>
        <c:numFmt formatCode="General" sourceLinked="true"/>
        <c:majorTickMark val="none"/>
        <c:minorTickMark val="none"/>
        <c:tickLblPos val="nextTo"/>
        <c:spPr>
          <a:noFill/>
          <a:ln>
            <a:noFill/>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true"/>
        <c:showVertBorder val="true"/>
        <c:showOutline val="true"/>
        <c:showKeys val="true"/>
        <c:spPr>
          <a:noFill/>
          <a:ln w="9525" cap="flat" cmpd="sng" algn="ctr">
            <a:solidFill>
              <a:schemeClr val="tx1">
                <a:lumMod val="15000"/>
                <a:lumOff val="85000"/>
              </a:schemeClr>
            </a:solidFill>
            <a:round/>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true"/>
    <c:dispBlanksAs val="gap"/>
    <c:showDLblsOverMax val="false"/>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false"/>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false"/>
      <c:spPr>
        <a:noFill/>
        <a:ln>
          <a:noFill/>
        </a:ln>
        <a:effectLst/>
      </c:spPr>
    </c:title>
    <c:autoTitleDeleted val="false"/>
    <c:plotArea>
      <c:layout/>
      <c:pieChart>
        <c:varyColors val="true"/>
        <c:ser>
          <c:idx val="0"/>
          <c:order val="0"/>
          <c:tx>
            <c:strRef>
              <c:f>Sheet1!$B$1</c:f>
              <c:strCache>
                <c:ptCount val="1"/>
                <c:pt idx="0">
                  <c:v>金额</c:v>
                </c:pt>
              </c:strCache>
            </c:strRef>
          </c:tx>
          <c:spPr/>
          <c:explosion val="0"/>
          <c:dPt>
            <c:idx val="0"/>
            <c:bubble3D val="false"/>
            <c:spPr>
              <a:solidFill>
                <a:schemeClr val="accent1"/>
              </a:solidFill>
              <a:ln>
                <a:solidFill>
                  <a:schemeClr val="bg1"/>
                </a:solidFill>
              </a:ln>
              <a:effectLst/>
            </c:spPr>
          </c:dPt>
          <c:dPt>
            <c:idx val="1"/>
            <c:bubble3D val="false"/>
            <c:spPr>
              <a:solidFill>
                <a:schemeClr val="accent2"/>
              </a:solidFill>
              <a:ln>
                <a:solidFill>
                  <a:schemeClr val="bg1"/>
                </a:solidFill>
              </a:ln>
              <a:effectLst/>
            </c:spPr>
          </c:dPt>
          <c:dPt>
            <c:idx val="2"/>
            <c:bubble3D val="false"/>
            <c:spPr>
              <a:solidFill>
                <a:schemeClr val="accent3"/>
              </a:solidFill>
              <a:ln>
                <a:solidFill>
                  <a:schemeClr val="bg1"/>
                </a:solidFill>
              </a:ln>
              <a:effectLst/>
            </c:spPr>
          </c:dPt>
          <c:dPt>
            <c:idx val="3"/>
            <c:bubble3D val="false"/>
            <c:spPr>
              <a:solidFill>
                <a:schemeClr val="accent4"/>
              </a:solidFill>
              <a:ln>
                <a:solidFill>
                  <a:schemeClr val="bg1"/>
                </a:solidFill>
              </a:ln>
              <a:effectLst/>
            </c:spPr>
          </c:dPt>
          <c:dPt>
            <c:idx val="4"/>
            <c:bubble3D val="false"/>
            <c:spPr>
              <a:solidFill>
                <a:schemeClr val="accent5"/>
              </a:solidFill>
              <a:ln>
                <a:solidFill>
                  <a:schemeClr val="bg1"/>
                </a:solidFill>
              </a:ln>
              <a:effectLst/>
            </c:spPr>
          </c:dPt>
          <c:dPt>
            <c:idx val="5"/>
            <c:bubble3D val="false"/>
            <c:spPr>
              <a:solidFill>
                <a:schemeClr val="accent6"/>
              </a:solidFill>
              <a:ln>
                <a:solidFill>
                  <a:schemeClr val="bg1"/>
                </a:solidFill>
              </a:ln>
              <a:effectLst/>
            </c:spPr>
          </c:dPt>
          <c:dPt>
            <c:idx val="6"/>
            <c:bubble3D val="false"/>
            <c:spPr>
              <a:solidFill>
                <a:schemeClr val="accent1">
                  <a:lumMod val="60000"/>
                </a:schemeClr>
              </a:solidFill>
              <a:ln>
                <a:solidFill>
                  <a:schemeClr val="bg1"/>
                </a:solidFill>
              </a:ln>
              <a:effectLst/>
            </c:spPr>
          </c:dPt>
          <c:dPt>
            <c:idx val="7"/>
            <c:bubble3D val="false"/>
            <c:spPr>
              <a:solidFill>
                <a:schemeClr val="accent2">
                  <a:lumMod val="60000"/>
                </a:schemeClr>
              </a:solidFill>
              <a:ln>
                <a:solidFill>
                  <a:schemeClr val="bg1"/>
                </a:solidFill>
              </a:ln>
              <a:effectLst/>
            </c:spPr>
          </c:dPt>
          <c:dPt>
            <c:idx val="8"/>
            <c:bubble3D val="false"/>
            <c:spPr>
              <a:solidFill>
                <a:schemeClr val="accent3">
                  <a:lumMod val="60000"/>
                </a:schemeClr>
              </a:solidFill>
              <a:ln>
                <a:solidFill>
                  <a:schemeClr val="bg1"/>
                </a:solidFill>
              </a:ln>
              <a:effectLst/>
            </c:spPr>
          </c:dPt>
          <c:dPt>
            <c:idx val="9"/>
            <c:bubble3D val="false"/>
            <c:spPr>
              <a:solidFill>
                <a:schemeClr val="accent4">
                  <a:lumMod val="60000"/>
                </a:schemeClr>
              </a:solidFill>
              <a:ln>
                <a:solidFill>
                  <a:schemeClr val="bg1"/>
                </a:solidFill>
              </a:ln>
              <a:effectLst/>
            </c:spPr>
          </c:dPt>
          <c:dPt>
            <c:idx val="10"/>
            <c:bubble3D val="false"/>
            <c:spPr>
              <a:solidFill>
                <a:schemeClr val="accent5">
                  <a:lumMod val="60000"/>
                </a:schemeClr>
              </a:solidFill>
              <a:ln>
                <a:solidFill>
                  <a:schemeClr val="bg1"/>
                </a:solidFill>
              </a:ln>
              <a:effectLst/>
            </c:spPr>
          </c:dPt>
          <c:dPt>
            <c:idx val="11"/>
            <c:bubble3D val="false"/>
            <c:spPr>
              <a:solidFill>
                <a:schemeClr val="accent6">
                  <a:lumMod val="60000"/>
                </a:schemeClr>
              </a:solidFill>
              <a:ln>
                <a:solidFill>
                  <a:schemeClr val="bg1"/>
                </a:solidFill>
              </a:ln>
              <a:effectLst/>
            </c:spPr>
          </c:dPt>
          <c:dPt>
            <c:idx val="12"/>
            <c:bubble3D val="false"/>
            <c:spPr>
              <a:solidFill>
                <a:schemeClr val="accent1">
                  <a:lumMod val="80000"/>
                  <a:lumOff val="20000"/>
                </a:schemeClr>
              </a:solidFill>
              <a:ln>
                <a:solidFill>
                  <a:schemeClr val="bg1"/>
                </a:solidFill>
              </a:ln>
              <a:effectLst/>
            </c:spPr>
          </c:dPt>
          <c:dPt>
            <c:idx val="13"/>
            <c:bubble3D val="false"/>
            <c:spPr>
              <a:solidFill>
                <a:schemeClr val="accent2">
                  <a:lumMod val="80000"/>
                  <a:lumOff val="20000"/>
                </a:schemeClr>
              </a:solidFill>
              <a:ln>
                <a:solidFill>
                  <a:schemeClr val="bg1"/>
                </a:solidFill>
              </a:ln>
              <a:effectLst/>
            </c:spPr>
          </c:dPt>
          <c:dPt>
            <c:idx val="14"/>
            <c:bubble3D val="false"/>
            <c:spPr>
              <a:solidFill>
                <a:schemeClr val="accent3">
                  <a:lumMod val="80000"/>
                  <a:lumOff val="20000"/>
                </a:schemeClr>
              </a:solidFill>
              <a:ln>
                <a:solidFill>
                  <a:schemeClr val="bg1"/>
                </a:solidFill>
              </a:ln>
              <a:effectLst/>
            </c:spPr>
          </c:dPt>
          <c:dPt>
            <c:idx val="15"/>
            <c:bubble3D val="false"/>
            <c:spPr>
              <a:solidFill>
                <a:schemeClr val="accent4">
                  <a:lumMod val="80000"/>
                  <a:lumOff val="20000"/>
                </a:schemeClr>
              </a:solidFill>
              <a:ln>
                <a:solidFill>
                  <a:schemeClr val="bg1"/>
                </a:solidFill>
              </a:ln>
              <a:effectLst/>
            </c:spPr>
          </c:dPt>
          <c:dPt>
            <c:idx val="16"/>
            <c:bubble3D val="false"/>
            <c:spPr>
              <a:solidFill>
                <a:schemeClr val="accent5">
                  <a:lumMod val="80000"/>
                  <a:lumOff val="20000"/>
                </a:schemeClr>
              </a:solidFill>
              <a:ln>
                <a:solidFill>
                  <a:schemeClr val="bg1"/>
                </a:solidFill>
              </a:ln>
              <a:effectLst/>
            </c:spPr>
          </c:dPt>
          <c:dPt>
            <c:idx val="17"/>
            <c:bubble3D val="false"/>
            <c:spPr>
              <a:solidFill>
                <a:schemeClr val="accent6">
                  <a:lumMod val="80000"/>
                  <a:lumOff val="20000"/>
                </a:schemeClr>
              </a:solidFill>
              <a:ln>
                <a:solidFill>
                  <a:schemeClr val="bg1"/>
                </a:solidFill>
              </a:ln>
              <a:effectLst/>
            </c:spPr>
          </c:dPt>
          <c:dPt>
            <c:idx val="18"/>
            <c:bubble3D val="false"/>
            <c:spPr>
              <a:solidFill>
                <a:schemeClr val="accent1">
                  <a:lumMod val="80000"/>
                </a:schemeClr>
              </a:solidFill>
              <a:ln>
                <a:solidFill>
                  <a:schemeClr val="bg1"/>
                </a:solidFill>
              </a:ln>
              <a:effectLst/>
            </c:spPr>
          </c:dPt>
          <c:dPt>
            <c:idx val="19"/>
            <c:bubble3D val="false"/>
            <c:spPr>
              <a:solidFill>
                <a:schemeClr val="accent2">
                  <a:lumMod val="80000"/>
                </a:schemeClr>
              </a:solidFill>
              <a:ln>
                <a:solidFill>
                  <a:schemeClr val="bg1"/>
                </a:solidFill>
              </a:ln>
              <a:effectLst/>
            </c:spPr>
          </c:dPt>
          <c:dPt>
            <c:idx val="20"/>
            <c:bubble3D val="false"/>
            <c:spPr>
              <a:solidFill>
                <a:schemeClr val="accent3">
                  <a:lumMod val="80000"/>
                </a:schemeClr>
              </a:solidFill>
              <a:ln>
                <a:solidFill>
                  <a:schemeClr val="bg1"/>
                </a:solidFill>
              </a:ln>
              <a:effectLst/>
            </c:spPr>
          </c:dPt>
          <c:dPt>
            <c:idx val="21"/>
            <c:bubble3D val="false"/>
            <c:spPr>
              <a:solidFill>
                <a:schemeClr val="accent4">
                  <a:lumMod val="80000"/>
                </a:schemeClr>
              </a:solidFill>
              <a:ln>
                <a:solidFill>
                  <a:schemeClr val="bg1"/>
                </a:solidFill>
              </a:ln>
              <a:effectLst/>
            </c:spPr>
          </c:dPt>
          <c:dLbls>
            <c:delete val="true"/>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133.95</c:v>
                </c:pt>
                <c:pt idx="1">
                  <c:v>0</c:v>
                </c:pt>
                <c:pt idx="2">
                  <c:v>0</c:v>
                </c:pt>
                <c:pt idx="3">
                  <c:v>0</c:v>
                </c:pt>
                <c:pt idx="4">
                  <c:v>0</c:v>
                </c:pt>
                <c:pt idx="5">
                  <c:v>0</c:v>
                </c:pt>
                <c:pt idx="6">
                  <c:v>33.08</c:v>
                </c:pt>
                <c:pt idx="7">
                  <c:v>10.91</c:v>
                </c:pt>
                <c:pt idx="8">
                  <c:v>0</c:v>
                </c:pt>
                <c:pt idx="9">
                  <c:v>0</c:v>
                </c:pt>
                <c:pt idx="10">
                  <c:v>0</c:v>
                </c:pt>
                <c:pt idx="11">
                  <c:v>0</c:v>
                </c:pt>
                <c:pt idx="12">
                  <c:v>0</c:v>
                </c:pt>
                <c:pt idx="13">
                  <c:v>0</c:v>
                </c:pt>
                <c:pt idx="14">
                  <c:v>0</c:v>
                </c:pt>
                <c:pt idx="15">
                  <c:v>0</c:v>
                </c:pt>
                <c:pt idx="16">
                  <c:v>14.01</c:v>
                </c:pt>
                <c:pt idx="17">
                  <c:v>0</c:v>
                </c:pt>
                <c:pt idx="18">
                  <c:v>0</c:v>
                </c:pt>
                <c:pt idx="19">
                  <c:v>0</c:v>
                </c:pt>
                <c:pt idx="20">
                  <c:v>0</c:v>
                </c:pt>
                <c:pt idx="21">
                  <c:v>0</c:v>
                </c:pt>
              </c:numCache>
            </c:numRef>
          </c:val>
        </c:ser>
        <c:dLbls>
          <c:showLegendKey val="false"/>
          <c:showVal val="false"/>
          <c:showCatName val="false"/>
          <c:showSerName val="false"/>
          <c:showPercent val="false"/>
          <c:showBubbleSize val="false"/>
          <c:showLeaderLines val="true"/>
        </c:dLbls>
        <c:firstSliceAng val="0"/>
      </c:pieChart>
      <c:spPr>
        <a:noFill/>
        <a:ln>
          <a:noFill/>
        </a:ln>
        <a:effectLst/>
      </c:spPr>
    </c:plotArea>
    <c:legend>
      <c:legendPos val="r"/>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legend>
    <c:plotVisOnly val="true"/>
    <c:dispBlanksAs val="gap"/>
    <c:showDLblsOverMax val="false"/>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false"/>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true">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true">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true">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true">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true">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true">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33</Pages>
  <Words>7931</Words>
  <Characters>9443</Characters>
  <Lines>261</Lines>
  <Paragraphs>73</Paragraphs>
  <TotalTime>1</TotalTime>
  <ScaleCrop>false</ScaleCrop>
  <LinksUpToDate>false</LinksUpToDate>
  <CharactersWithSpaces>10066</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2023-08-04T15:55:00Z</dcterms:created>
  <dc:creator>王明新TIAD</dc:creator>
  <cp:lastModifiedBy>uos</cp:lastModifiedBy>
  <cp:lastPrinted>2023-08-04T09:00:00Z</cp:lastPrinted>
  <dcterms:modified xsi:type="dcterms:W3CDTF">2025-11-26T14:53:07Z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y fmtid="{D5CDD505-2E9C-101B-9397-08002B2CF9AE}" pid="3" name="ICV">
    <vt:lpwstr>206A9C78B7BC4F6291E0C8365CD1EC18</vt:lpwstr>
  </property>
  <property fmtid="{D5CDD505-2E9C-101B-9397-08002B2CF9AE}" pid="4" name="KSOTemplateUUID">
    <vt:lpwstr>v1.0_mb_S7ajbG3IpAnL1wSthNCxfw==</vt:lpwstr>
  </property>
</Properties>
</file>